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C61C7D9" wp14:paraId="0718CA49" wp14:textId="2D040AE2">
      <w:pPr>
        <w:jc w:val="both"/>
        <w:rPr>
          <w:rFonts w:ascii="Times New Roman" w:hAnsi="Times New Roman" w:eastAsia="Times New Roman" w:cs="Times New Roman"/>
          <w:sz w:val="28"/>
          <w:szCs w:val="28"/>
        </w:rPr>
      </w:pPr>
      <w:r w:rsidRPr="0C61C7D9" w:rsidR="4431F400">
        <w:rPr>
          <w:rFonts w:ascii="Times New Roman" w:hAnsi="Times New Roman" w:eastAsia="Times New Roman" w:cs="Times New Roman"/>
          <w:sz w:val="28"/>
          <w:szCs w:val="28"/>
        </w:rPr>
        <w:t>Governance in Higher Education Institutions in India – Past, Present and Future</w:t>
      </w:r>
    </w:p>
    <w:p xmlns:wp14="http://schemas.microsoft.com/office/word/2010/wordml" w:rsidP="0EFFB164" wp14:paraId="34EBDB51" wp14:textId="7E3F0B38">
      <w:pPr>
        <w:jc w:val="both"/>
        <w:rPr>
          <w:rFonts w:ascii="Times New Roman" w:hAnsi="Times New Roman" w:eastAsia="Times New Roman" w:cs="Times New Roman"/>
        </w:rPr>
      </w:pPr>
      <w:r w:rsidRPr="19AF3060" w:rsidR="19AF3060">
        <w:rPr>
          <w:rFonts w:ascii="Times New Roman" w:hAnsi="Times New Roman" w:eastAsia="Times New Roman" w:cs="Times New Roman"/>
        </w:rPr>
        <w:t>Author:</w:t>
      </w:r>
      <w:r w:rsidRPr="19AF3060" w:rsidR="19AF3060">
        <w:rPr>
          <w:rFonts w:ascii="Times New Roman" w:hAnsi="Times New Roman" w:eastAsia="Times New Roman" w:cs="Times New Roman"/>
        </w:rPr>
        <w:t xml:space="preserve"> Assistant Professor Shabnam Akbar Pathan,</w:t>
      </w:r>
    </w:p>
    <w:p xmlns:wp14="http://schemas.microsoft.com/office/word/2010/wordml" w:rsidP="0EFFB164" wp14:paraId="65EACBC9" wp14:textId="283A83DD">
      <w:pPr>
        <w:jc w:val="both"/>
        <w:rPr>
          <w:rFonts w:ascii="Times New Roman" w:hAnsi="Times New Roman" w:eastAsia="Times New Roman" w:cs="Times New Roman"/>
        </w:rPr>
      </w:pPr>
      <w:r w:rsidRPr="0C61C7D9" w:rsidR="4431F400">
        <w:rPr>
          <w:rFonts w:ascii="Times New Roman" w:hAnsi="Times New Roman" w:eastAsia="Times New Roman" w:cs="Times New Roman"/>
        </w:rPr>
        <w:t xml:space="preserve">MCE Society’s AKK New Law Academy and </w:t>
      </w:r>
      <w:proofErr w:type="spellStart"/>
      <w:r w:rsidRPr="0C61C7D9" w:rsidR="4431F400">
        <w:rPr>
          <w:rFonts w:ascii="Times New Roman" w:hAnsi="Times New Roman" w:eastAsia="Times New Roman" w:cs="Times New Roman"/>
        </w:rPr>
        <w:t>Ph.D</w:t>
      </w:r>
      <w:proofErr w:type="spellEnd"/>
      <w:r w:rsidRPr="0C61C7D9" w:rsidR="4431F400">
        <w:rPr>
          <w:rFonts w:ascii="Times New Roman" w:hAnsi="Times New Roman" w:eastAsia="Times New Roman" w:cs="Times New Roman"/>
        </w:rPr>
        <w:t xml:space="preserve"> (Law) Research Centre, Pune</w:t>
      </w:r>
    </w:p>
    <w:p xmlns:wp14="http://schemas.microsoft.com/office/word/2010/wordml" w:rsidP="0EFFB164" wp14:paraId="0F4AC58E" wp14:textId="7EAA55A1">
      <w:pPr>
        <w:jc w:val="both"/>
        <w:rPr>
          <w:rFonts w:ascii="Times New Roman" w:hAnsi="Times New Roman" w:eastAsia="Times New Roman" w:cs="Times New Roman"/>
        </w:rPr>
      </w:pPr>
      <w:r w:rsidRPr="0C61C7D9" w:rsidR="4431F400">
        <w:rPr>
          <w:rFonts w:ascii="Times New Roman" w:hAnsi="Times New Roman" w:eastAsia="Times New Roman" w:cs="Times New Roman"/>
        </w:rPr>
        <w:t xml:space="preserve">E-mail – </w:t>
      </w:r>
      <w:hyperlink r:id="R7fe2be21ed884d5b">
        <w:r w:rsidRPr="0C61C7D9" w:rsidR="4431F400">
          <w:rPr>
            <w:rStyle w:val="Hyperlink"/>
            <w:rFonts w:ascii="Times New Roman" w:hAnsi="Times New Roman" w:eastAsia="Times New Roman" w:cs="Times New Roman"/>
          </w:rPr>
          <w:t>pathanshabnam80@gmail.com</w:t>
        </w:r>
      </w:hyperlink>
      <w:r w:rsidRPr="0C61C7D9" w:rsidR="4431F400">
        <w:rPr>
          <w:rFonts w:ascii="Times New Roman" w:hAnsi="Times New Roman" w:eastAsia="Times New Roman" w:cs="Times New Roman"/>
        </w:rPr>
        <w:t xml:space="preserve"> </w:t>
      </w:r>
    </w:p>
    <w:p xmlns:wp14="http://schemas.microsoft.com/office/word/2010/wordml" w:rsidP="0EFFB164" wp14:paraId="7BE855C3" wp14:textId="4BF00D7A">
      <w:pPr>
        <w:jc w:val="both"/>
        <w:rPr>
          <w:rFonts w:ascii="Times New Roman" w:hAnsi="Times New Roman" w:eastAsia="Times New Roman" w:cs="Times New Roman"/>
        </w:rPr>
      </w:pPr>
      <w:r w:rsidRPr="0C61C7D9" w:rsidR="4431F400">
        <w:rPr>
          <w:rFonts w:ascii="Times New Roman" w:hAnsi="Times New Roman" w:eastAsia="Times New Roman" w:cs="Times New Roman"/>
        </w:rPr>
        <w:t>Contact No. - 8286333666</w:t>
      </w:r>
    </w:p>
    <w:p xmlns:wp14="http://schemas.microsoft.com/office/word/2010/wordml" w:rsidP="0EFFB164" wp14:paraId="43CBC9A1" wp14:textId="5653BD38">
      <w:pPr>
        <w:pStyle w:val="Heading3"/>
        <w:spacing w:before="281" w:beforeAutospacing="off" w:after="281" w:afterAutospacing="off"/>
        <w:jc w:val="both"/>
        <w:rPr>
          <w:rFonts w:ascii="Times New Roman" w:hAnsi="Times New Roman" w:eastAsia="Times New Roman" w:cs="Times New Roman"/>
          <w:b w:val="1"/>
          <w:bCs w:val="1"/>
          <w:noProof w:val="0"/>
          <w:sz w:val="28"/>
          <w:szCs w:val="28"/>
          <w:lang w:val="en-US"/>
        </w:rPr>
      </w:pPr>
    </w:p>
    <w:p xmlns:wp14="http://schemas.microsoft.com/office/word/2010/wordml" w:rsidP="0EFFB164" wp14:paraId="07F8AB94" wp14:textId="0B262B08">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19AF3060" w:rsidR="19AF3060">
        <w:rPr>
          <w:rFonts w:ascii="Times New Roman" w:hAnsi="Times New Roman" w:eastAsia="Times New Roman" w:cs="Times New Roman"/>
          <w:b w:val="1"/>
          <w:bCs w:val="1"/>
          <w:noProof w:val="0"/>
          <w:color w:val="auto"/>
          <w:sz w:val="28"/>
          <w:szCs w:val="28"/>
          <w:lang w:val="en-US"/>
        </w:rPr>
        <w:t xml:space="preserve">Abstract </w:t>
      </w:r>
    </w:p>
    <w:p xmlns:wp14="http://schemas.microsoft.com/office/word/2010/wordml" w:rsidP="0EFFB164" wp14:paraId="0A291D5E" wp14:textId="011B3EC4">
      <w:pPr>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noProof w:val="0"/>
          <w:sz w:val="24"/>
          <w:szCs w:val="24"/>
          <w:lang w:val="en-US"/>
        </w:rPr>
        <w:t>This paper critically examines the governance structures of higher education institutions (HEIs) in India, tracing their evolution from the colonial period to the present and exploring future directions under current policy frameworks. Historically, Indian HEIs operated under centralized control, with post-independence reforms gradually granting autonomy. The current landscape reflects a dynamic interplay between regulatory authorities (UGC, AICTE, etc.) and institutional governance bodies. However, challenges persist, including bureaucratic inertia, funding disparities, and quality assurance issues. The National Education Policy (NEP) 2020 aims to address these through decentralized, transparent governance and enhanced institutional autonomy. This paper analyzes past and present governance mechanisms, evaluates the impact of reforms, and forecasts future trends. It employs a socio-legal perspective, incorporating case studies and policy analysis to highlight best practices and areas needing reform. The study emphasizes the need for ethical leadership, stakeholder participation, and technology integration for effective governance in HEIs.</w:t>
      </w:r>
    </w:p>
    <w:p xmlns:wp14="http://schemas.microsoft.com/office/word/2010/wordml" w:rsidP="0EFFB164" wp14:paraId="729B77A1" wp14:textId="0E1419E5">
      <w:pPr>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Keywords:</w:t>
      </w:r>
      <w:r w:rsidRPr="19AF3060" w:rsidR="19AF3060">
        <w:rPr>
          <w:rFonts w:ascii="Times New Roman" w:hAnsi="Times New Roman" w:eastAsia="Times New Roman" w:cs="Times New Roman"/>
          <w:noProof w:val="0"/>
          <w:sz w:val="24"/>
          <w:szCs w:val="24"/>
          <w:lang w:val="en-US"/>
        </w:rPr>
        <w:t xml:space="preserve"> Higher Education, Governance, National Education Policy, India, Institutional Autonomy, Socio-Legal Analysis, Regulatory Framework, HEIs.</w:t>
      </w:r>
    </w:p>
    <w:p xmlns:wp14="http://schemas.microsoft.com/office/word/2010/wordml" w:rsidP="0EFFB164" wp14:paraId="28BDBDDD" wp14:textId="07FA6043">
      <w:pPr>
        <w:jc w:val="both"/>
        <w:rPr>
          <w:rFonts w:ascii="Times New Roman" w:hAnsi="Times New Roman" w:eastAsia="Times New Roman" w:cs="Times New Roman"/>
        </w:rPr>
      </w:pPr>
    </w:p>
    <w:p w:rsidR="19AF3060" w:rsidP="19AF3060" w:rsidRDefault="19AF3060" w14:paraId="2B39037D" w14:textId="377B5A44">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Introduction</w:t>
      </w:r>
    </w:p>
    <w:p w:rsidR="19AF3060" w:rsidP="19AF3060" w:rsidRDefault="19AF3060" w14:paraId="61269566" w14:textId="4772992D">
      <w:pPr>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noProof w:val="0"/>
          <w:sz w:val="24"/>
          <w:szCs w:val="24"/>
          <w:lang w:val="en-US"/>
        </w:rPr>
        <w:t xml:space="preserve">Governance in Higher Education Institutions (HEIs) in India plays a pivotal role in shaping the academic and socio-economic fabric of the nation. As centers of knowledge creation and dissemination, HEIs are instrumental in producing skilled human resources, fostering research and innovation, and promoting socio-economic development. Effective governance ensures that these institutions </w:t>
      </w:r>
      <w:r w:rsidRPr="19AF3060" w:rsidR="19AF3060">
        <w:rPr>
          <w:rFonts w:ascii="Times New Roman" w:hAnsi="Times New Roman" w:eastAsia="Times New Roman" w:cs="Times New Roman"/>
          <w:noProof w:val="0"/>
          <w:sz w:val="24"/>
          <w:szCs w:val="24"/>
          <w:lang w:val="en-US"/>
        </w:rPr>
        <w:t>operate</w:t>
      </w:r>
      <w:r w:rsidRPr="19AF3060" w:rsidR="19AF3060">
        <w:rPr>
          <w:rFonts w:ascii="Times New Roman" w:hAnsi="Times New Roman" w:eastAsia="Times New Roman" w:cs="Times New Roman"/>
          <w:noProof w:val="0"/>
          <w:sz w:val="24"/>
          <w:szCs w:val="24"/>
          <w:lang w:val="en-US"/>
        </w:rPr>
        <w:t xml:space="preserve"> transparently, equitably, and efficiently while </w:t>
      </w:r>
      <w:r w:rsidRPr="19AF3060" w:rsidR="19AF3060">
        <w:rPr>
          <w:rFonts w:ascii="Times New Roman" w:hAnsi="Times New Roman" w:eastAsia="Times New Roman" w:cs="Times New Roman"/>
          <w:noProof w:val="0"/>
          <w:sz w:val="24"/>
          <w:szCs w:val="24"/>
          <w:lang w:val="en-US"/>
        </w:rPr>
        <w:t>maintaining</w:t>
      </w:r>
      <w:r w:rsidRPr="19AF3060" w:rsidR="19AF3060">
        <w:rPr>
          <w:rFonts w:ascii="Times New Roman" w:hAnsi="Times New Roman" w:eastAsia="Times New Roman" w:cs="Times New Roman"/>
          <w:noProof w:val="0"/>
          <w:sz w:val="24"/>
          <w:szCs w:val="24"/>
          <w:lang w:val="en-US"/>
        </w:rPr>
        <w:t xml:space="preserve"> academic integrity and quality standards. Understanding the evolution and current state of governance in Indian HEIs </w:t>
      </w:r>
      <w:r w:rsidRPr="19AF3060" w:rsidR="19AF3060">
        <w:rPr>
          <w:rFonts w:ascii="Times New Roman" w:hAnsi="Times New Roman" w:eastAsia="Times New Roman" w:cs="Times New Roman"/>
          <w:noProof w:val="0"/>
          <w:sz w:val="24"/>
          <w:szCs w:val="24"/>
          <w:lang w:val="en-US"/>
        </w:rPr>
        <w:t>provides</w:t>
      </w:r>
      <w:r w:rsidRPr="19AF3060" w:rsidR="19AF3060">
        <w:rPr>
          <w:rFonts w:ascii="Times New Roman" w:hAnsi="Times New Roman" w:eastAsia="Times New Roman" w:cs="Times New Roman"/>
          <w:noProof w:val="0"/>
          <w:sz w:val="24"/>
          <w:szCs w:val="24"/>
          <w:lang w:val="en-US"/>
        </w:rPr>
        <w:t xml:space="preserve"> critical insights into their challenges and potential future trajectories, especially in the context of the rapidly changing educational landscape.</w:t>
      </w:r>
    </w:p>
    <w:p w:rsidR="19AF3060" w:rsidP="19AF3060" w:rsidRDefault="19AF3060" w14:paraId="3F1FA133" w14:textId="0E1175E9">
      <w:p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Historical Context:</w:t>
      </w:r>
    </w:p>
    <w:p w:rsidR="19AF3060" w:rsidP="19AF3060" w:rsidRDefault="19AF3060" w14:paraId="211E34CB" w14:textId="20230E75">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 xml:space="preserve">The governance of higher education in India has evolved significantly since the pre-independence era, which saw the establishment of universities modeled after British institutions. Post-independence, the focus shifted towards democratizing education and creating a robust public sector system. Regulatory bodies like the University Grants Commission (UGC) and later, the </w:t>
      </w:r>
      <w:proofErr w:type="gramStart"/>
      <w:r w:rsidRPr="0C61C7D9" w:rsidR="4431F400">
        <w:rPr>
          <w:rFonts w:ascii="Times New Roman" w:hAnsi="Times New Roman" w:eastAsia="Times New Roman" w:cs="Times New Roman"/>
          <w:noProof w:val="0"/>
          <w:sz w:val="24"/>
          <w:szCs w:val="24"/>
          <w:lang w:val="en-US"/>
        </w:rPr>
        <w:t>All India</w:t>
      </w:r>
      <w:proofErr w:type="gramEnd"/>
      <w:r w:rsidRPr="0C61C7D9" w:rsidR="4431F400">
        <w:rPr>
          <w:rFonts w:ascii="Times New Roman" w:hAnsi="Times New Roman" w:eastAsia="Times New Roman" w:cs="Times New Roman"/>
          <w:noProof w:val="0"/>
          <w:sz w:val="24"/>
          <w:szCs w:val="24"/>
          <w:lang w:val="en-US"/>
        </w:rPr>
        <w:t xml:space="preserve"> Council for Technical Education (AICTE), were </w:t>
      </w:r>
      <w:r w:rsidRPr="0C61C7D9" w:rsidR="4431F400">
        <w:rPr>
          <w:rFonts w:ascii="Times New Roman" w:hAnsi="Times New Roman" w:eastAsia="Times New Roman" w:cs="Times New Roman"/>
          <w:noProof w:val="0"/>
          <w:sz w:val="24"/>
          <w:szCs w:val="24"/>
          <w:lang w:val="en-US"/>
        </w:rPr>
        <w:t>established</w:t>
      </w:r>
      <w:r w:rsidRPr="0C61C7D9" w:rsidR="4431F400">
        <w:rPr>
          <w:rFonts w:ascii="Times New Roman" w:hAnsi="Times New Roman" w:eastAsia="Times New Roman" w:cs="Times New Roman"/>
          <w:noProof w:val="0"/>
          <w:sz w:val="24"/>
          <w:szCs w:val="24"/>
          <w:lang w:val="en-US"/>
        </w:rPr>
        <w:t xml:space="preserve"> to oversee standards and funding. Despite these efforts, challenges such as bureaucratic control, lack of autonomy, and inconsistencies in quality assurance have persisted.</w:t>
      </w:r>
    </w:p>
    <w:p w:rsidR="19AF3060" w:rsidP="19AF3060" w:rsidRDefault="19AF3060" w14:paraId="051460E4" w14:textId="0F8EA14A">
      <w:p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Present Scenario:</w:t>
      </w:r>
    </w:p>
    <w:p w:rsidR="19AF3060" w:rsidP="19AF3060" w:rsidRDefault="19AF3060" w14:paraId="7FA09435" w14:textId="55CF5206">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 xml:space="preserve"> Currently, the governance framework in Indian HEIs is characterized by a dual structure involving regulatory authorities and institutional governance bodies such as Academic Councils and Governing Boards. While public universities </w:t>
      </w:r>
      <w:r w:rsidRPr="0C61C7D9" w:rsidR="4431F400">
        <w:rPr>
          <w:rFonts w:ascii="Times New Roman" w:hAnsi="Times New Roman" w:eastAsia="Times New Roman" w:cs="Times New Roman"/>
          <w:noProof w:val="0"/>
          <w:sz w:val="24"/>
          <w:szCs w:val="24"/>
          <w:lang w:val="en-US"/>
        </w:rPr>
        <w:t>operate</w:t>
      </w:r>
      <w:r w:rsidRPr="0C61C7D9" w:rsidR="4431F400">
        <w:rPr>
          <w:rFonts w:ascii="Times New Roman" w:hAnsi="Times New Roman" w:eastAsia="Times New Roman" w:cs="Times New Roman"/>
          <w:noProof w:val="0"/>
          <w:sz w:val="24"/>
          <w:szCs w:val="24"/>
          <w:lang w:val="en-US"/>
        </w:rPr>
        <w:t xml:space="preserve"> under significant state or central government oversight, private institutions enjoy varying degrees of autonomy. However, both face challenges such as regulatory overreach, funding constraints, and lack of transparency.</w:t>
      </w:r>
      <w:r w:rsidRPr="0C61C7D9">
        <w:rPr>
          <w:rStyle w:val="FootnoteReference"/>
          <w:rFonts w:ascii="Times New Roman" w:hAnsi="Times New Roman" w:eastAsia="Times New Roman" w:cs="Times New Roman"/>
          <w:noProof w:val="0"/>
          <w:sz w:val="24"/>
          <w:szCs w:val="24"/>
          <w:lang w:val="en-US"/>
        </w:rPr>
        <w:footnoteReference w:id="20613"/>
      </w:r>
      <w:r w:rsidRPr="0C61C7D9" w:rsidR="4431F400">
        <w:rPr>
          <w:rFonts w:ascii="Times New Roman" w:hAnsi="Times New Roman" w:eastAsia="Times New Roman" w:cs="Times New Roman"/>
          <w:noProof w:val="0"/>
          <w:sz w:val="24"/>
          <w:szCs w:val="24"/>
          <w:lang w:val="en-US"/>
        </w:rPr>
        <w:t xml:space="preserve"> Moreover, issues like administrative inefficiency, politicization, and limited stakeholder involvement further complicate governance.</w:t>
      </w:r>
    </w:p>
    <w:p w:rsidR="19AF3060" w:rsidP="19AF3060" w:rsidRDefault="19AF3060" w14:paraId="75B11167" w14:textId="7BDC75A6">
      <w:p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Significance of Governance:</w:t>
      </w:r>
    </w:p>
    <w:p w:rsidR="19AF3060" w:rsidP="19AF3060" w:rsidRDefault="19AF3060" w14:paraId="238C0EC2" w14:textId="211ADA62">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 xml:space="preserve"> Effective governance is crucial for fostering academic excellence and institutional accountability. It ensures that educational policies are implemented effectively, resources are managed efficiently, and students receive quality education. Governance frameworks also </w:t>
      </w:r>
      <w:r w:rsidRPr="0C61C7D9" w:rsidR="4431F400">
        <w:rPr>
          <w:rFonts w:ascii="Times New Roman" w:hAnsi="Times New Roman" w:eastAsia="Times New Roman" w:cs="Times New Roman"/>
          <w:noProof w:val="0"/>
          <w:sz w:val="24"/>
          <w:szCs w:val="24"/>
          <w:lang w:val="en-US"/>
        </w:rPr>
        <w:t>impact</w:t>
      </w:r>
      <w:r w:rsidRPr="0C61C7D9" w:rsidR="4431F400">
        <w:rPr>
          <w:rFonts w:ascii="Times New Roman" w:hAnsi="Times New Roman" w:eastAsia="Times New Roman" w:cs="Times New Roman"/>
          <w:noProof w:val="0"/>
          <w:sz w:val="24"/>
          <w:szCs w:val="24"/>
          <w:lang w:val="en-US"/>
        </w:rPr>
        <w:t xml:space="preserve"> institutional autonomy, faculty freedom, and the ability to innovate, which are essential for responding to global educational trends and local socio-economic needs. Strong governance structures foster trust among stakeholders, including students, parents, faculty, and employers, and are vital for </w:t>
      </w:r>
      <w:r w:rsidRPr="0C61C7D9" w:rsidR="4431F400">
        <w:rPr>
          <w:rFonts w:ascii="Times New Roman" w:hAnsi="Times New Roman" w:eastAsia="Times New Roman" w:cs="Times New Roman"/>
          <w:noProof w:val="0"/>
          <w:sz w:val="24"/>
          <w:szCs w:val="24"/>
          <w:lang w:val="en-US"/>
        </w:rPr>
        <w:t>maintaining</w:t>
      </w:r>
      <w:r w:rsidRPr="0C61C7D9" w:rsidR="4431F400">
        <w:rPr>
          <w:rFonts w:ascii="Times New Roman" w:hAnsi="Times New Roman" w:eastAsia="Times New Roman" w:cs="Times New Roman"/>
          <w:noProof w:val="0"/>
          <w:sz w:val="24"/>
          <w:szCs w:val="24"/>
          <w:lang w:val="en-US"/>
        </w:rPr>
        <w:t xml:space="preserve"> the credibility and reputation of HEIs.</w:t>
      </w:r>
      <w:r w:rsidRPr="0C61C7D9">
        <w:rPr>
          <w:rStyle w:val="FootnoteReference"/>
          <w:rFonts w:ascii="Times New Roman" w:hAnsi="Times New Roman" w:eastAsia="Times New Roman" w:cs="Times New Roman"/>
          <w:noProof w:val="0"/>
          <w:sz w:val="24"/>
          <w:szCs w:val="24"/>
          <w:lang w:val="en-US"/>
        </w:rPr>
        <w:footnoteReference w:id="20179"/>
      </w:r>
    </w:p>
    <w:p w:rsidR="19AF3060" w:rsidP="19AF3060" w:rsidRDefault="19AF3060" w14:paraId="61A44566" w14:textId="76CFE7C3">
      <w:p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Future Imperatives:</w:t>
      </w:r>
    </w:p>
    <w:p w:rsidR="19AF3060" w:rsidP="19AF3060" w:rsidRDefault="19AF3060" w14:paraId="47AC0A74" w14:textId="7C39B7B4">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 xml:space="preserve">The introduction of the National Education Policy (NEP) 2020 marks a significant shift towards decentralization, institutional autonomy, and outcome-based governance. As India </w:t>
      </w:r>
      <w:r w:rsidRPr="0C61C7D9" w:rsidR="4431F400">
        <w:rPr>
          <w:rFonts w:ascii="Times New Roman" w:hAnsi="Times New Roman" w:eastAsia="Times New Roman" w:cs="Times New Roman"/>
          <w:noProof w:val="0"/>
          <w:sz w:val="24"/>
          <w:szCs w:val="24"/>
          <w:lang w:val="en-US"/>
        </w:rPr>
        <w:t>seeks</w:t>
      </w:r>
      <w:r w:rsidRPr="0C61C7D9" w:rsidR="4431F400">
        <w:rPr>
          <w:rFonts w:ascii="Times New Roman" w:hAnsi="Times New Roman" w:eastAsia="Times New Roman" w:cs="Times New Roman"/>
          <w:noProof w:val="0"/>
          <w:sz w:val="24"/>
          <w:szCs w:val="24"/>
          <w:lang w:val="en-US"/>
        </w:rPr>
        <w:t xml:space="preserve"> to transform its higher education system to meet global standards, revisiting and strengthening governance mechanisms becomes imperative. Future governance models must emphasize transparency, inclusivity, ethical leadership, and the integration of technology.</w:t>
      </w:r>
    </w:p>
    <w:p w:rsidR="19AF3060" w:rsidP="19AF3060" w:rsidRDefault="19AF3060" w14:paraId="40A51020" w14:textId="35270CB8">
      <w:pPr>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noProof w:val="0"/>
          <w:sz w:val="24"/>
          <w:szCs w:val="24"/>
          <w:lang w:val="en-US"/>
        </w:rPr>
        <w:t xml:space="preserve">We can see, governance in Indian HEIs is at a crossroads. Understanding its context and significance provides a foundation for </w:t>
      </w:r>
      <w:r w:rsidRPr="19AF3060" w:rsidR="19AF3060">
        <w:rPr>
          <w:rFonts w:ascii="Times New Roman" w:hAnsi="Times New Roman" w:eastAsia="Times New Roman" w:cs="Times New Roman"/>
          <w:noProof w:val="0"/>
          <w:sz w:val="24"/>
          <w:szCs w:val="24"/>
          <w:lang w:val="en-US"/>
        </w:rPr>
        <w:t>identifying</w:t>
      </w:r>
      <w:r w:rsidRPr="19AF3060" w:rsidR="19AF3060">
        <w:rPr>
          <w:rFonts w:ascii="Times New Roman" w:hAnsi="Times New Roman" w:eastAsia="Times New Roman" w:cs="Times New Roman"/>
          <w:noProof w:val="0"/>
          <w:sz w:val="24"/>
          <w:szCs w:val="24"/>
          <w:lang w:val="en-US"/>
        </w:rPr>
        <w:t xml:space="preserve"> reforms that can lead to more dynamic, responsive, and </w:t>
      </w:r>
      <w:r w:rsidRPr="19AF3060" w:rsidR="19AF3060">
        <w:rPr>
          <w:rFonts w:ascii="Times New Roman" w:hAnsi="Times New Roman" w:eastAsia="Times New Roman" w:cs="Times New Roman"/>
          <w:noProof w:val="0"/>
          <w:sz w:val="24"/>
          <w:szCs w:val="24"/>
          <w:lang w:val="en-US"/>
        </w:rPr>
        <w:t>equitable</w:t>
      </w:r>
      <w:r w:rsidRPr="19AF3060" w:rsidR="19AF3060">
        <w:rPr>
          <w:rFonts w:ascii="Times New Roman" w:hAnsi="Times New Roman" w:eastAsia="Times New Roman" w:cs="Times New Roman"/>
          <w:noProof w:val="0"/>
          <w:sz w:val="24"/>
          <w:szCs w:val="24"/>
          <w:lang w:val="en-US"/>
        </w:rPr>
        <w:t xml:space="preserve"> institutions, essential for India's socio-economic progress in the 21st century.</w:t>
      </w:r>
    </w:p>
    <w:p w:rsidR="19AF3060" w:rsidP="19AF3060" w:rsidRDefault="19AF3060" w14:paraId="5E4C98A1" w14:textId="5D93A88F">
      <w:pPr>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noProof w:val="0"/>
          <w:sz w:val="24"/>
          <w:szCs w:val="24"/>
          <w:lang w:val="en-US"/>
        </w:rPr>
        <w:t xml:space="preserve">The primary </w:t>
      </w:r>
      <w:r w:rsidRPr="19AF3060" w:rsidR="19AF3060">
        <w:rPr>
          <w:rFonts w:ascii="Times New Roman" w:hAnsi="Times New Roman" w:eastAsia="Times New Roman" w:cs="Times New Roman"/>
          <w:noProof w:val="0"/>
          <w:sz w:val="24"/>
          <w:szCs w:val="24"/>
          <w:lang w:val="en-US"/>
        </w:rPr>
        <w:t>objective</w:t>
      </w:r>
      <w:r w:rsidRPr="19AF3060" w:rsidR="19AF3060">
        <w:rPr>
          <w:rFonts w:ascii="Times New Roman" w:hAnsi="Times New Roman" w:eastAsia="Times New Roman" w:cs="Times New Roman"/>
          <w:noProof w:val="0"/>
          <w:sz w:val="24"/>
          <w:szCs w:val="24"/>
          <w:lang w:val="en-US"/>
        </w:rPr>
        <w:t xml:space="preserve"> of this research paper is to critically analyze the governance structures of Higher Education Institutions (HEIs) in India through a historical, contemporary, and forward-looking lens. Specifically, the study aims to:</w:t>
      </w:r>
    </w:p>
    <w:p w:rsidR="19AF3060" w:rsidP="19AF3060" w:rsidRDefault="19AF3060" w14:paraId="1351F0F9" w14:textId="6E7658C3">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Trace the Historical Evolution:</w:t>
      </w:r>
    </w:p>
    <w:p w:rsidR="19AF3060" w:rsidP="19AF3060" w:rsidRDefault="19AF3060" w14:paraId="5C976863" w14:textId="794C460B">
      <w:pPr>
        <w:spacing w:before="240" w:beforeAutospacing="off" w:after="240" w:afterAutospacing="off"/>
        <w:ind w:left="0"/>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Examine the development of governance mechanisms in Indian HEIs from the pre-independence era to the present. This involves understanding the influence of colonial policies, post-independence reforms, and the establishment of regulatory bodies like the University Grants Commission (UGC).</w:t>
      </w:r>
      <w:r w:rsidRPr="0C61C7D9">
        <w:rPr>
          <w:rStyle w:val="FootnoteReference"/>
          <w:rFonts w:ascii="Times New Roman" w:hAnsi="Times New Roman" w:eastAsia="Times New Roman" w:cs="Times New Roman"/>
          <w:noProof w:val="0"/>
          <w:sz w:val="24"/>
          <w:szCs w:val="24"/>
          <w:lang w:val="en-US"/>
        </w:rPr>
        <w:footnoteReference w:id="6060"/>
      </w:r>
    </w:p>
    <w:p w:rsidR="19AF3060" w:rsidP="19AF3060" w:rsidRDefault="19AF3060" w14:paraId="037704D5" w14:textId="77257E06">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Assess the Current Governance Framework:</w:t>
      </w:r>
    </w:p>
    <w:p w:rsidR="19AF3060" w:rsidP="19AF3060" w:rsidRDefault="19AF3060" w14:paraId="426B9066" w14:textId="666B741C">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 xml:space="preserve">Evaluate the existing governance structures, </w:t>
      </w:r>
      <w:r w:rsidRPr="0C61C7D9" w:rsidR="4431F400">
        <w:rPr>
          <w:rFonts w:ascii="Times New Roman" w:hAnsi="Times New Roman" w:eastAsia="Times New Roman" w:cs="Times New Roman"/>
          <w:noProof w:val="0"/>
          <w:sz w:val="24"/>
          <w:szCs w:val="24"/>
          <w:lang w:val="en-US"/>
        </w:rPr>
        <w:t>identifying</w:t>
      </w:r>
      <w:r w:rsidRPr="0C61C7D9" w:rsidR="4431F400">
        <w:rPr>
          <w:rFonts w:ascii="Times New Roman" w:hAnsi="Times New Roman" w:eastAsia="Times New Roman" w:cs="Times New Roman"/>
          <w:noProof w:val="0"/>
          <w:sz w:val="24"/>
          <w:szCs w:val="24"/>
          <w:lang w:val="en-US"/>
        </w:rPr>
        <w:t xml:space="preserve"> key challenges such as bureaucratic inertia, funding disparities, regulatory complexities, and quality assurance issues. This includes analyzing the roles of various regulatory authorities (UGC, AICTE) and internal governance bodies (Academic Councils, Governing Boards).</w:t>
      </w:r>
      <w:r w:rsidRPr="0C61C7D9">
        <w:rPr>
          <w:rStyle w:val="FootnoteReference"/>
          <w:rFonts w:ascii="Times New Roman" w:hAnsi="Times New Roman" w:eastAsia="Times New Roman" w:cs="Times New Roman"/>
          <w:noProof w:val="0"/>
          <w:sz w:val="24"/>
          <w:szCs w:val="24"/>
          <w:lang w:val="en-US"/>
        </w:rPr>
        <w:footnoteReference w:id="12852"/>
      </w:r>
    </w:p>
    <w:p w:rsidR="19AF3060" w:rsidP="19AF3060" w:rsidRDefault="19AF3060" w14:paraId="2113B921" w14:textId="7C7E37A4">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Examine the Impact of the National Education Policy (NEP) 2020:</w:t>
      </w:r>
    </w:p>
    <w:p w:rsidR="19AF3060" w:rsidP="19AF3060" w:rsidRDefault="19AF3060" w14:paraId="4836E78C" w14:textId="539D5EF3">
      <w:pPr>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noProof w:val="0"/>
          <w:sz w:val="24"/>
          <w:szCs w:val="24"/>
          <w:lang w:val="en-US"/>
        </w:rPr>
        <w:t>Investigate how NEP 2020 proposes to reshape governance in HEIs, focusing on themes like decentralization, institutional autonomy, transparency, and stakeholder engagement.</w:t>
      </w:r>
    </w:p>
    <w:p w:rsidR="19AF3060" w:rsidP="19AF3060" w:rsidRDefault="19AF3060" w14:paraId="0BE41776" w14:textId="3DAE72C8">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Forecast Future Trends and Recommendations:</w:t>
      </w:r>
    </w:p>
    <w:p w:rsidR="19AF3060" w:rsidP="19AF3060" w:rsidRDefault="19AF3060" w14:paraId="7A0FE440" w14:textId="3D51D4F0">
      <w:pPr>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noProof w:val="0"/>
          <w:sz w:val="24"/>
          <w:szCs w:val="24"/>
          <w:lang w:val="en-US"/>
        </w:rPr>
        <w:t>Explore potential future developments in higher education governance, including the role of technology, international best practices, and policy innovations. Propose actionable recommendations to improve governance in HEIs, ensuring they are responsive to both global standards and local socio-economic needs.</w:t>
      </w:r>
    </w:p>
    <w:p w:rsidR="19AF3060" w:rsidP="19AF3060" w:rsidRDefault="19AF3060" w14:paraId="53C01CC1" w14:textId="106DBC9F">
      <w:pPr>
        <w:jc w:val="both"/>
        <w:rPr>
          <w:rFonts w:ascii="Times New Roman" w:hAnsi="Times New Roman" w:eastAsia="Times New Roman" w:cs="Times New Roman"/>
        </w:rPr>
      </w:pPr>
    </w:p>
    <w:p w:rsidR="19AF3060" w:rsidP="19AF3060" w:rsidRDefault="19AF3060" w14:paraId="728D7E57" w14:textId="3853A2B1">
      <w:pPr>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noProof w:val="0"/>
          <w:sz w:val="24"/>
          <w:szCs w:val="24"/>
          <w:lang w:val="en-US"/>
        </w:rPr>
        <w:t xml:space="preserve">This research adopts a </w:t>
      </w:r>
      <w:r w:rsidRPr="19AF3060" w:rsidR="19AF3060">
        <w:rPr>
          <w:rFonts w:ascii="Times New Roman" w:hAnsi="Times New Roman" w:eastAsia="Times New Roman" w:cs="Times New Roman"/>
          <w:b w:val="1"/>
          <w:bCs w:val="1"/>
          <w:noProof w:val="0"/>
          <w:sz w:val="24"/>
          <w:szCs w:val="24"/>
          <w:lang w:val="en-US"/>
        </w:rPr>
        <w:t>doctrinal approach</w:t>
      </w:r>
      <w:r w:rsidRPr="19AF3060" w:rsidR="19AF3060">
        <w:rPr>
          <w:rFonts w:ascii="Times New Roman" w:hAnsi="Times New Roman" w:eastAsia="Times New Roman" w:cs="Times New Roman"/>
          <w:noProof w:val="0"/>
          <w:sz w:val="24"/>
          <w:szCs w:val="24"/>
          <w:lang w:val="en-US"/>
        </w:rPr>
        <w:t>, focusing on the analysis of legal and policy documents, academic literature, and case studies. The methodological framework is structured as follows:</w:t>
      </w:r>
    </w:p>
    <w:p w:rsidR="19AF3060" w:rsidP="19AF3060" w:rsidRDefault="19AF3060" w14:paraId="74135AF1" w14:textId="14BE6292">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Literature Review:</w:t>
      </w:r>
    </w:p>
    <w:p w:rsidR="19AF3060" w:rsidP="19AF3060" w:rsidRDefault="19AF3060" w14:paraId="6D31E4F3" w14:textId="1BF9AD5A">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 xml:space="preserve">A comprehensive review of existing literature, including books, peer-reviewed journal articles, government reports, and policy documents, forms the foundation of this study. This helps in </w:t>
      </w:r>
      <w:r w:rsidRPr="0C61C7D9" w:rsidR="4431F400">
        <w:rPr>
          <w:rFonts w:ascii="Times New Roman" w:hAnsi="Times New Roman" w:eastAsia="Times New Roman" w:cs="Times New Roman"/>
          <w:noProof w:val="0"/>
          <w:sz w:val="24"/>
          <w:szCs w:val="24"/>
          <w:lang w:val="en-US"/>
        </w:rPr>
        <w:t>identifying</w:t>
      </w:r>
      <w:r w:rsidRPr="0C61C7D9" w:rsidR="4431F400">
        <w:rPr>
          <w:rFonts w:ascii="Times New Roman" w:hAnsi="Times New Roman" w:eastAsia="Times New Roman" w:cs="Times New Roman"/>
          <w:noProof w:val="0"/>
          <w:sz w:val="24"/>
          <w:szCs w:val="24"/>
          <w:lang w:val="en-US"/>
        </w:rPr>
        <w:t xml:space="preserve"> gaps in current research and understanding diverse perspectives on HEI governance.</w:t>
      </w:r>
    </w:p>
    <w:p w:rsidR="19AF3060" w:rsidP="19AF3060" w:rsidRDefault="19AF3060" w14:paraId="0ACE05FA" w14:textId="3D195FC6">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Legal and Policy Analysis:</w:t>
      </w:r>
    </w:p>
    <w:p w:rsidR="19AF3060" w:rsidP="19AF3060" w:rsidRDefault="19AF3060" w14:paraId="2ADBFE0D" w14:textId="54A6811E">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Critical examination of legal frameworks, including acts, regulations, and policies governing HEIs, such as the UGC Act, AICTE regulations, and NEP 2020. This involves assessing their effectiveness in promoting transparency, accountability, and quality education.</w:t>
      </w:r>
    </w:p>
    <w:p w:rsidR="19AF3060" w:rsidP="19AF3060" w:rsidRDefault="19AF3060" w14:paraId="42F4B08C" w14:textId="151B68F5">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Case Study Method:</w:t>
      </w:r>
    </w:p>
    <w:p w:rsidR="19AF3060" w:rsidP="19AF3060" w:rsidRDefault="19AF3060" w14:paraId="73544698" w14:textId="6B2145D1">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Select case studies of prominent HEIs (both public and private) to illustrate practical governance challenges and best practices. Comparative analysis with international institutions will provide insights into globally recognized governance models.</w:t>
      </w:r>
    </w:p>
    <w:p w:rsidR="19AF3060" w:rsidP="19AF3060" w:rsidRDefault="19AF3060" w14:paraId="2CC34247" w14:textId="4CF50E4C">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Socio-Legal Perspective:</w:t>
      </w:r>
    </w:p>
    <w:p w:rsidR="19AF3060" w:rsidP="19AF3060" w:rsidRDefault="19AF3060" w14:paraId="488CC701" w14:textId="4D1ACF5C">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The research adopts a socio-legal lens to explore the interplay between law, policy, and social factors in shaping HEI governance. This includes examining how socio-political dynamics influence governance outcomes.</w:t>
      </w:r>
    </w:p>
    <w:p w:rsidR="19AF3060" w:rsidP="19AF3060" w:rsidRDefault="19AF3060" w14:paraId="7DFB3F6D" w14:textId="57934B1B">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Comparative Analysis:</w:t>
      </w:r>
    </w:p>
    <w:p w:rsidR="19AF3060" w:rsidP="19AF3060" w:rsidRDefault="19AF3060" w14:paraId="0E156998" w14:textId="20C89680">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 xml:space="preserve">Benchmarking Indian governance practices against global standards helps in </w:t>
      </w:r>
      <w:r w:rsidRPr="0C61C7D9" w:rsidR="4431F400">
        <w:rPr>
          <w:rFonts w:ascii="Times New Roman" w:hAnsi="Times New Roman" w:eastAsia="Times New Roman" w:cs="Times New Roman"/>
          <w:noProof w:val="0"/>
          <w:sz w:val="24"/>
          <w:szCs w:val="24"/>
          <w:lang w:val="en-US"/>
        </w:rPr>
        <w:t>identifying</w:t>
      </w:r>
      <w:r w:rsidRPr="0C61C7D9" w:rsidR="4431F400">
        <w:rPr>
          <w:rFonts w:ascii="Times New Roman" w:hAnsi="Times New Roman" w:eastAsia="Times New Roman" w:cs="Times New Roman"/>
          <w:noProof w:val="0"/>
          <w:sz w:val="24"/>
          <w:szCs w:val="24"/>
          <w:lang w:val="en-US"/>
        </w:rPr>
        <w:t xml:space="preserve"> areas for improvement. The study will draw comparisons with HEIs in countries such as the United States, the United Kingdom, and Australia.</w:t>
      </w:r>
    </w:p>
    <w:p w:rsidR="19AF3060" w:rsidP="19AF3060" w:rsidRDefault="19AF3060" w14:paraId="736D902D" w14:textId="6496508A">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Data Sources:</w:t>
      </w:r>
    </w:p>
    <w:p w:rsidR="19AF3060" w:rsidP="19AF3060" w:rsidRDefault="19AF3060" w14:paraId="4AEE5E27" w14:textId="1CF58B0D">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 xml:space="preserve">Primary sources include official reports from the Ministry of Education, UGC, and AICTE. Secondary sources include scholarly articles, books, and credible online resources. Legal databases and policy repositories will also be </w:t>
      </w:r>
      <w:r w:rsidRPr="0C61C7D9" w:rsidR="4431F400">
        <w:rPr>
          <w:rFonts w:ascii="Times New Roman" w:hAnsi="Times New Roman" w:eastAsia="Times New Roman" w:cs="Times New Roman"/>
          <w:noProof w:val="0"/>
          <w:sz w:val="24"/>
          <w:szCs w:val="24"/>
          <w:lang w:val="en-US"/>
        </w:rPr>
        <w:t>utilized</w:t>
      </w:r>
      <w:r w:rsidRPr="0C61C7D9" w:rsidR="4431F400">
        <w:rPr>
          <w:rFonts w:ascii="Times New Roman" w:hAnsi="Times New Roman" w:eastAsia="Times New Roman" w:cs="Times New Roman"/>
          <w:noProof w:val="0"/>
          <w:sz w:val="24"/>
          <w:szCs w:val="24"/>
          <w:lang w:val="en-US"/>
        </w:rPr>
        <w:t xml:space="preserve"> for data collection.</w:t>
      </w:r>
    </w:p>
    <w:p w:rsidR="19AF3060" w:rsidP="19AF3060" w:rsidRDefault="19AF3060" w14:paraId="61E1A99B" w14:textId="728763F0">
      <w:pPr>
        <w:jc w:val="both"/>
        <w:rPr>
          <w:rFonts w:ascii="Times New Roman" w:hAnsi="Times New Roman" w:eastAsia="Times New Roman" w:cs="Times New Roman"/>
        </w:rPr>
      </w:pPr>
    </w:p>
    <w:p w:rsidR="19AF3060" w:rsidP="19AF3060" w:rsidRDefault="19AF3060" w14:paraId="31F3A7FB" w14:textId="33D1770A">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Historical Context of Higher Education Governance</w:t>
      </w:r>
    </w:p>
    <w:p w:rsidR="19AF3060" w:rsidP="19AF3060" w:rsidRDefault="19AF3060" w14:paraId="562FF7C2" w14:textId="06DF2FF2">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Pre-Independence Era: British Educational Policies</w:t>
      </w:r>
    </w:p>
    <w:p w:rsidR="19AF3060" w:rsidP="0C61C7D9" w:rsidRDefault="19AF3060" w14:paraId="0953C5A3" w14:textId="03E13853">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The foundation of higher education governance in India can be traced back to the colonial period, specifically during British rule. Before the British influence, India had a rich tradition of learning centers such as Nalanda and </w:t>
      </w:r>
      <w:proofErr w:type="spellStart"/>
      <w:r w:rsidRPr="0C61C7D9" w:rsidR="4431F400">
        <w:rPr>
          <w:rFonts w:ascii="Times New Roman" w:hAnsi="Times New Roman" w:eastAsia="Times New Roman" w:cs="Times New Roman"/>
          <w:noProof w:val="0"/>
          <w:lang w:val="en-US"/>
        </w:rPr>
        <w:t>Takshashila</w:t>
      </w:r>
      <w:proofErr w:type="spellEnd"/>
      <w:r w:rsidRPr="0C61C7D9" w:rsidR="4431F400">
        <w:rPr>
          <w:rFonts w:ascii="Times New Roman" w:hAnsi="Times New Roman" w:eastAsia="Times New Roman" w:cs="Times New Roman"/>
          <w:noProof w:val="0"/>
          <w:lang w:val="en-US"/>
        </w:rPr>
        <w:t>. However, formal higher education governance as we know it today began with British policies aimed at serving their administrative needs.</w:t>
      </w:r>
    </w:p>
    <w:p w:rsidR="19AF3060" w:rsidP="0C61C7D9" w:rsidRDefault="19AF3060" w14:paraId="1BD73D9F" w14:textId="50B56172">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In 1813, the British East India Company officially recognized the role of education through the Charter Act, which </w:t>
      </w:r>
      <w:r w:rsidRPr="0C61C7D9" w:rsidR="4431F400">
        <w:rPr>
          <w:rFonts w:ascii="Times New Roman" w:hAnsi="Times New Roman" w:eastAsia="Times New Roman" w:cs="Times New Roman"/>
          <w:noProof w:val="0"/>
          <w:lang w:val="en-US"/>
        </w:rPr>
        <w:t>allocated</w:t>
      </w:r>
      <w:r w:rsidRPr="0C61C7D9" w:rsidR="4431F400">
        <w:rPr>
          <w:rFonts w:ascii="Times New Roman" w:hAnsi="Times New Roman" w:eastAsia="Times New Roman" w:cs="Times New Roman"/>
          <w:noProof w:val="0"/>
          <w:lang w:val="en-US"/>
        </w:rPr>
        <w:t xml:space="preserve"> funds for promoting education. The establishment of modern higher education began with institutions like Calcutta University (1857), Bombay University (1857), and Madras University (1857), modeled after the University of London. These universities followed a centralized governance structure, with British officials </w:t>
      </w:r>
      <w:r w:rsidRPr="0C61C7D9" w:rsidR="4431F400">
        <w:rPr>
          <w:rFonts w:ascii="Times New Roman" w:hAnsi="Times New Roman" w:eastAsia="Times New Roman" w:cs="Times New Roman"/>
          <w:noProof w:val="0"/>
          <w:lang w:val="en-US"/>
        </w:rPr>
        <w:t>retaining</w:t>
      </w:r>
      <w:r w:rsidRPr="0C61C7D9" w:rsidR="4431F400">
        <w:rPr>
          <w:rFonts w:ascii="Times New Roman" w:hAnsi="Times New Roman" w:eastAsia="Times New Roman" w:cs="Times New Roman"/>
          <w:noProof w:val="0"/>
          <w:lang w:val="en-US"/>
        </w:rPr>
        <w:t xml:space="preserve"> significant control over curricula, administration, and faculty appointments.</w:t>
      </w:r>
      <w:r w:rsidRPr="0C61C7D9">
        <w:rPr>
          <w:rStyle w:val="FootnoteReference"/>
          <w:rFonts w:ascii="Times New Roman" w:hAnsi="Times New Roman" w:eastAsia="Times New Roman" w:cs="Times New Roman"/>
          <w:noProof w:val="0"/>
          <w:lang w:val="en-US"/>
        </w:rPr>
        <w:footnoteReference w:id="13929"/>
      </w:r>
    </w:p>
    <w:p w:rsidR="19AF3060" w:rsidP="0C61C7D9" w:rsidRDefault="19AF3060" w14:paraId="7FD60F6E" w14:textId="5FABC461">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The key </w:t>
      </w:r>
      <w:r w:rsidRPr="0C61C7D9" w:rsidR="4431F400">
        <w:rPr>
          <w:rFonts w:ascii="Times New Roman" w:hAnsi="Times New Roman" w:eastAsia="Times New Roman" w:cs="Times New Roman"/>
          <w:noProof w:val="0"/>
          <w:lang w:val="en-US"/>
        </w:rPr>
        <w:t>objective</w:t>
      </w:r>
      <w:r w:rsidRPr="0C61C7D9" w:rsidR="4431F400">
        <w:rPr>
          <w:rFonts w:ascii="Times New Roman" w:hAnsi="Times New Roman" w:eastAsia="Times New Roman" w:cs="Times New Roman"/>
          <w:noProof w:val="0"/>
          <w:lang w:val="en-US"/>
        </w:rPr>
        <w:t xml:space="preserve"> was to produce a class of educated Indians who could serve the colonial administration. This led to an emphasis on English education and a bureaucratic system that prioritized compliance over critical thinking and creativity. The Indian Universities Act of 1904 further strengthened British control, reducing the autonomy of </w:t>
      </w:r>
      <w:r w:rsidRPr="0C61C7D9" w:rsidR="4431F400">
        <w:rPr>
          <w:rFonts w:ascii="Times New Roman" w:hAnsi="Times New Roman" w:eastAsia="Times New Roman" w:cs="Times New Roman"/>
          <w:noProof w:val="0"/>
          <w:lang w:val="en-US"/>
        </w:rPr>
        <w:t>universities</w:t>
      </w:r>
      <w:r w:rsidRPr="0C61C7D9" w:rsidR="4431F400">
        <w:rPr>
          <w:rFonts w:ascii="Times New Roman" w:hAnsi="Times New Roman" w:eastAsia="Times New Roman" w:cs="Times New Roman"/>
          <w:noProof w:val="0"/>
          <w:lang w:val="en-US"/>
        </w:rPr>
        <w:t xml:space="preserve"> and creating a rigid, examination-centric system.</w:t>
      </w:r>
      <w:r w:rsidRPr="0C61C7D9" w:rsidR="4431F400">
        <w:rPr>
          <w:rFonts w:ascii="Times New Roman" w:hAnsi="Times New Roman" w:eastAsia="Times New Roman" w:cs="Times New Roman"/>
          <w:noProof w:val="0"/>
          <w:lang w:val="en-US"/>
        </w:rPr>
        <w:t xml:space="preserve"> The focus was more on governance for control rather than for promoting academic excellence or research.</w:t>
      </w:r>
    </w:p>
    <w:p w:rsidR="19AF3060" w:rsidP="0C61C7D9" w:rsidRDefault="19AF3060" w14:paraId="71AE0ECB" w14:textId="36D6880E">
      <w:pPr>
        <w:pStyle w:val="Heading4"/>
        <w:spacing w:before="319" w:beforeAutospacing="off" w:after="319" w:afterAutospacing="off"/>
        <w:jc w:val="both"/>
        <w:rPr>
          <w:rFonts w:ascii="Times New Roman" w:hAnsi="Times New Roman" w:eastAsia="Times New Roman" w:cs="Times New Roman"/>
          <w:b w:val="0"/>
          <w:bCs w:val="0"/>
          <w:i w:val="0"/>
          <w:iCs w:val="0"/>
          <w:noProof w:val="0"/>
          <w:color w:val="auto"/>
          <w:sz w:val="24"/>
          <w:szCs w:val="24"/>
          <w:lang w:val="en-US"/>
        </w:rPr>
      </w:pPr>
      <w:r w:rsidRPr="0C61C7D9" w:rsidR="4431F400">
        <w:rPr>
          <w:rFonts w:ascii="Times New Roman" w:hAnsi="Times New Roman" w:eastAsia="Times New Roman" w:cs="Times New Roman"/>
          <w:b w:val="0"/>
          <w:bCs w:val="0"/>
          <w:i w:val="0"/>
          <w:iCs w:val="0"/>
          <w:noProof w:val="0"/>
          <w:color w:val="auto"/>
          <w:sz w:val="24"/>
          <w:szCs w:val="24"/>
          <w:lang w:val="en-US"/>
        </w:rPr>
        <w:t>Post-Independence: Development of UGC and Other Regulatory Bodies</w:t>
      </w:r>
    </w:p>
    <w:p w:rsidR="19AF3060" w:rsidP="0C61C7D9" w:rsidRDefault="19AF3060" w14:paraId="419C35AE" w14:textId="185546BF">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After gaining independence in 1947, India recognized the critical role of higher education in nation-building. The Radhakrishnan Commission (1948-49) laid the groundwork for a robust higher education system, emphasizing the need for autonomy, quality, and relevance. Based on its recommendations, the University Grants Commission (UGC) was </w:t>
      </w:r>
      <w:r w:rsidRPr="0C61C7D9" w:rsidR="4431F400">
        <w:rPr>
          <w:rFonts w:ascii="Times New Roman" w:hAnsi="Times New Roman" w:eastAsia="Times New Roman" w:cs="Times New Roman"/>
          <w:noProof w:val="0"/>
          <w:lang w:val="en-US"/>
        </w:rPr>
        <w:t>established</w:t>
      </w:r>
      <w:r w:rsidRPr="0C61C7D9" w:rsidR="4431F400">
        <w:rPr>
          <w:rFonts w:ascii="Times New Roman" w:hAnsi="Times New Roman" w:eastAsia="Times New Roman" w:cs="Times New Roman"/>
          <w:noProof w:val="0"/>
          <w:lang w:val="en-US"/>
        </w:rPr>
        <w:t xml:space="preserve"> in 1956 as the apex body to regulate and oversee higher education institutions.</w:t>
      </w:r>
    </w:p>
    <w:p w:rsidR="19AF3060" w:rsidP="0C61C7D9" w:rsidRDefault="19AF3060" w14:paraId="5EBF361C" w14:textId="70D1A350">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The UGC was tasked with </w:t>
      </w:r>
      <w:r w:rsidRPr="0C61C7D9" w:rsidR="4431F400">
        <w:rPr>
          <w:rFonts w:ascii="Times New Roman" w:hAnsi="Times New Roman" w:eastAsia="Times New Roman" w:cs="Times New Roman"/>
          <w:noProof w:val="0"/>
          <w:lang w:val="en-US"/>
        </w:rPr>
        <w:t>maintaining</w:t>
      </w:r>
      <w:r w:rsidRPr="0C61C7D9" w:rsidR="4431F400">
        <w:rPr>
          <w:rFonts w:ascii="Times New Roman" w:hAnsi="Times New Roman" w:eastAsia="Times New Roman" w:cs="Times New Roman"/>
          <w:noProof w:val="0"/>
          <w:lang w:val="en-US"/>
        </w:rPr>
        <w:t xml:space="preserve"> quality standards, providing financial </w:t>
      </w:r>
      <w:r w:rsidRPr="0C61C7D9" w:rsidR="4431F400">
        <w:rPr>
          <w:rFonts w:ascii="Times New Roman" w:hAnsi="Times New Roman" w:eastAsia="Times New Roman" w:cs="Times New Roman"/>
          <w:noProof w:val="0"/>
          <w:lang w:val="en-US"/>
        </w:rPr>
        <w:t>assistance</w:t>
      </w:r>
      <w:r w:rsidRPr="0C61C7D9" w:rsidR="4431F400">
        <w:rPr>
          <w:rFonts w:ascii="Times New Roman" w:hAnsi="Times New Roman" w:eastAsia="Times New Roman" w:cs="Times New Roman"/>
          <w:noProof w:val="0"/>
          <w:lang w:val="en-US"/>
        </w:rPr>
        <w:t>, and ensuring the uniform development of universities across the country. It became a cornerstone of higher education governance, setting guidelines for curricula, faculty appointments, and infrastructure. The emphasis shifted from control to development, aiming to create a system that promoted academic freedom and research.</w:t>
      </w:r>
      <w:r w:rsidRPr="0C61C7D9">
        <w:rPr>
          <w:rStyle w:val="FootnoteReference"/>
          <w:rFonts w:ascii="Times New Roman" w:hAnsi="Times New Roman" w:eastAsia="Times New Roman" w:cs="Times New Roman"/>
          <w:noProof w:val="0"/>
          <w:lang w:val="en-US"/>
        </w:rPr>
        <w:footnoteReference w:id="2579"/>
      </w:r>
    </w:p>
    <w:p w:rsidR="19AF3060" w:rsidP="0C61C7D9" w:rsidRDefault="19AF3060" w14:paraId="3E03D02A" w14:textId="6B9A58E2">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Other regulatory bodies followed, such as the </w:t>
      </w:r>
      <w:r w:rsidRPr="0C61C7D9" w:rsidR="6E444583">
        <w:rPr>
          <w:rFonts w:ascii="Times New Roman" w:hAnsi="Times New Roman" w:eastAsia="Times New Roman" w:cs="Times New Roman"/>
          <w:noProof w:val="0"/>
          <w:lang w:val="en-US"/>
        </w:rPr>
        <w:t>All-India</w:t>
      </w:r>
      <w:r w:rsidRPr="0C61C7D9" w:rsidR="4431F400">
        <w:rPr>
          <w:rFonts w:ascii="Times New Roman" w:hAnsi="Times New Roman" w:eastAsia="Times New Roman" w:cs="Times New Roman"/>
          <w:noProof w:val="0"/>
          <w:lang w:val="en-US"/>
        </w:rPr>
        <w:t xml:space="preserve"> Council for Technical Education (AICTE) in 1987, which was </w:t>
      </w:r>
      <w:r w:rsidRPr="0C61C7D9" w:rsidR="4431F400">
        <w:rPr>
          <w:rFonts w:ascii="Times New Roman" w:hAnsi="Times New Roman" w:eastAsia="Times New Roman" w:cs="Times New Roman"/>
          <w:noProof w:val="0"/>
          <w:lang w:val="en-US"/>
        </w:rPr>
        <w:t>established</w:t>
      </w:r>
      <w:r w:rsidRPr="0C61C7D9" w:rsidR="4431F400">
        <w:rPr>
          <w:rFonts w:ascii="Times New Roman" w:hAnsi="Times New Roman" w:eastAsia="Times New Roman" w:cs="Times New Roman"/>
          <w:noProof w:val="0"/>
          <w:lang w:val="en-US"/>
        </w:rPr>
        <w:t xml:space="preserve"> to oversee technical education. The Medical Council of India (MCI) and the Bar Council of India (BCI) were also created to regulate professional education in medicine and law, respectively. This period marked a transition towards a more organized and structured governance model, albeit with challenges such as bureaucratic red tape and uneven quality standards.</w:t>
      </w:r>
      <w:r w:rsidRPr="0C61C7D9">
        <w:rPr>
          <w:rStyle w:val="FootnoteReference"/>
          <w:rFonts w:ascii="Times New Roman" w:hAnsi="Times New Roman" w:eastAsia="Times New Roman" w:cs="Times New Roman"/>
          <w:noProof w:val="0"/>
          <w:lang w:val="en-US"/>
        </w:rPr>
        <w:footnoteReference w:id="14097"/>
      </w:r>
    </w:p>
    <w:p w:rsidR="19AF3060" w:rsidP="0C61C7D9" w:rsidRDefault="19AF3060" w14:paraId="394DD006" w14:textId="2DC5FC61">
      <w:pPr>
        <w:pStyle w:val="Heading4"/>
        <w:spacing w:before="319" w:beforeAutospacing="off" w:after="319" w:afterAutospacing="off"/>
        <w:jc w:val="both"/>
        <w:rPr>
          <w:rFonts w:ascii="Times New Roman" w:hAnsi="Times New Roman" w:eastAsia="Times New Roman" w:cs="Times New Roman"/>
          <w:b w:val="0"/>
          <w:bCs w:val="0"/>
          <w:i w:val="0"/>
          <w:iCs w:val="0"/>
          <w:noProof w:val="0"/>
          <w:color w:val="auto"/>
          <w:sz w:val="24"/>
          <w:szCs w:val="24"/>
          <w:lang w:val="en-US"/>
        </w:rPr>
      </w:pPr>
      <w:r w:rsidRPr="0C61C7D9" w:rsidR="4431F400">
        <w:rPr>
          <w:rFonts w:ascii="Times New Roman" w:hAnsi="Times New Roman" w:eastAsia="Times New Roman" w:cs="Times New Roman"/>
          <w:b w:val="0"/>
          <w:bCs w:val="0"/>
          <w:i w:val="0"/>
          <w:iCs w:val="0"/>
          <w:noProof w:val="0"/>
          <w:color w:val="auto"/>
          <w:sz w:val="24"/>
          <w:szCs w:val="24"/>
          <w:lang w:val="en-US"/>
        </w:rPr>
        <w:t>K</w:t>
      </w:r>
      <w:r w:rsidRPr="0C61C7D9" w:rsidR="4431F400">
        <w:rPr>
          <w:rFonts w:ascii="Times New Roman" w:hAnsi="Times New Roman" w:eastAsia="Times New Roman" w:cs="Times New Roman"/>
          <w:b w:val="0"/>
          <w:bCs w:val="0"/>
          <w:i w:val="0"/>
          <w:iCs w:val="0"/>
          <w:noProof w:val="0"/>
          <w:color w:val="auto"/>
          <w:sz w:val="24"/>
          <w:szCs w:val="24"/>
          <w:lang w:val="en-US"/>
        </w:rPr>
        <w:t>ey</w:t>
      </w:r>
      <w:r w:rsidRPr="0C61C7D9" w:rsidR="4431F400">
        <w:rPr>
          <w:rFonts w:ascii="Times New Roman" w:hAnsi="Times New Roman" w:eastAsia="Times New Roman" w:cs="Times New Roman"/>
          <w:b w:val="0"/>
          <w:bCs w:val="0"/>
          <w:i w:val="0"/>
          <w:iCs w:val="0"/>
          <w:noProof w:val="0"/>
          <w:color w:val="auto"/>
          <w:sz w:val="24"/>
          <w:szCs w:val="24"/>
          <w:lang w:val="en-US"/>
        </w:rPr>
        <w:t xml:space="preserve"> Reforms in the 1980s and 1990s</w:t>
      </w:r>
    </w:p>
    <w:p w:rsidR="19AF3060" w:rsidP="0C61C7D9" w:rsidRDefault="19AF3060" w14:paraId="717BEE9B" w14:textId="4AC607B1">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The 1980s and 1990s were a transformative period for higher education governance in India. The National Policy on Education (NPE) of 1986, followed by its revised version in 1992, aimed to address issues of access, equity, and quality. It emphasized decentralization, institutional autonomy, and the importance of research and innovation.</w:t>
      </w:r>
    </w:p>
    <w:p w:rsidR="19AF3060" w:rsidP="0C61C7D9" w:rsidRDefault="19AF3060" w14:paraId="16105D75" w14:textId="67936BD3">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During this time, the government also encouraged the establishment of private institutions to meet the growing demand for higher education. This led to significant expansion but also introduced new challenges related to governance, quality assurance, and regulation.</w:t>
      </w:r>
    </w:p>
    <w:p w:rsidR="19AF3060" w:rsidP="0C61C7D9" w:rsidRDefault="19AF3060" w14:paraId="08B45D96" w14:textId="2D05F92D">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In the 1990s, economic liberalization brought a wave of globalization, </w:t>
      </w:r>
      <w:r w:rsidRPr="0C61C7D9" w:rsidR="4431F400">
        <w:rPr>
          <w:rFonts w:ascii="Times New Roman" w:hAnsi="Times New Roman" w:eastAsia="Times New Roman" w:cs="Times New Roman"/>
          <w:noProof w:val="0"/>
          <w:lang w:val="en-US"/>
        </w:rPr>
        <w:t>necessitating</w:t>
      </w:r>
      <w:r w:rsidRPr="0C61C7D9" w:rsidR="4431F400">
        <w:rPr>
          <w:rFonts w:ascii="Times New Roman" w:hAnsi="Times New Roman" w:eastAsia="Times New Roman" w:cs="Times New Roman"/>
          <w:noProof w:val="0"/>
          <w:lang w:val="en-US"/>
        </w:rPr>
        <w:t xml:space="preserve"> reforms to make Indian HEIs competitive internationally. The focus was on aligning educational outcomes with market needs, promoting collaborations with foreign institutions, and introducing accreditation mechanisms to ensure quality.</w:t>
      </w:r>
    </w:p>
    <w:p w:rsidR="19AF3060" w:rsidP="0C61C7D9" w:rsidRDefault="19AF3060" w14:paraId="7C58933E" w14:textId="2CD3614B">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However, these reforms also highlighted governance challenges, such as the need for greater transparency, reduction of political interference, and improved accountability. The decade set the stage for further reforms in the 21st century, leading to initiatives like the National Assessment and Accreditation Council (NAAC) to standardize quality evaluations.</w:t>
      </w:r>
    </w:p>
    <w:p w:rsidR="19AF3060" w:rsidP="0C61C7D9" w:rsidRDefault="19AF3060" w14:paraId="31EEE839" w14:textId="05E8AB13">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Taking everything into account, the historical evolution of higher education governance in India reflects a journey from colonial control to post-independence development </w:t>
      </w:r>
      <w:r w:rsidRPr="0C61C7D9" w:rsidR="4431F400">
        <w:rPr>
          <w:rFonts w:ascii="Times New Roman" w:hAnsi="Times New Roman" w:eastAsia="Times New Roman" w:cs="Times New Roman"/>
          <w:noProof w:val="0"/>
          <w:lang w:val="en-US"/>
        </w:rPr>
        <w:t>an</w:t>
      </w:r>
      <w:r w:rsidRPr="0C61C7D9" w:rsidR="4431F400">
        <w:rPr>
          <w:rFonts w:ascii="Times New Roman" w:hAnsi="Times New Roman" w:eastAsia="Times New Roman" w:cs="Times New Roman"/>
          <w:noProof w:val="0"/>
          <w:lang w:val="en-US"/>
        </w:rPr>
        <w:t xml:space="preserve">d </w:t>
      </w:r>
      <w:r w:rsidRPr="0C61C7D9" w:rsidR="4431F400">
        <w:rPr>
          <w:rFonts w:ascii="Times New Roman" w:hAnsi="Times New Roman" w:eastAsia="Times New Roman" w:cs="Times New Roman"/>
          <w:noProof w:val="0"/>
          <w:lang w:val="en-US"/>
        </w:rPr>
        <w:t>subseq</w:t>
      </w:r>
      <w:r w:rsidRPr="0C61C7D9" w:rsidR="4431F400">
        <w:rPr>
          <w:rFonts w:ascii="Times New Roman" w:hAnsi="Times New Roman" w:eastAsia="Times New Roman" w:cs="Times New Roman"/>
          <w:noProof w:val="0"/>
          <w:lang w:val="en-US"/>
        </w:rPr>
        <w:t>ue</w:t>
      </w:r>
      <w:r w:rsidRPr="0C61C7D9" w:rsidR="4431F400">
        <w:rPr>
          <w:rFonts w:ascii="Times New Roman" w:hAnsi="Times New Roman" w:eastAsia="Times New Roman" w:cs="Times New Roman"/>
          <w:noProof w:val="0"/>
          <w:lang w:val="en-US"/>
        </w:rPr>
        <w:t>nt</w:t>
      </w:r>
      <w:r w:rsidRPr="0C61C7D9" w:rsidR="4431F400">
        <w:rPr>
          <w:rFonts w:ascii="Times New Roman" w:hAnsi="Times New Roman" w:eastAsia="Times New Roman" w:cs="Times New Roman"/>
          <w:noProof w:val="0"/>
          <w:lang w:val="en-US"/>
        </w:rPr>
        <w:t xml:space="preserve"> reforms aimed at democratizing and modernizing the system. Each phase has contributed to shaping the current governance landscape, laying the groundwork for future improvements under policies like the National Education Policy (NEP) 2020.</w:t>
      </w:r>
    </w:p>
    <w:p w:rsidR="19AF3060" w:rsidP="19AF3060" w:rsidRDefault="19AF3060" w14:paraId="57AC0CCA" w14:textId="3EC90E69">
      <w:pPr>
        <w:pStyle w:val="ListParagraph"/>
        <w:spacing w:before="240" w:beforeAutospacing="off" w:after="240" w:afterAutospacing="off"/>
        <w:ind w:left="720"/>
        <w:jc w:val="both"/>
        <w:rPr>
          <w:rFonts w:ascii="Times New Roman" w:hAnsi="Times New Roman" w:eastAsia="Times New Roman" w:cs="Times New Roman"/>
          <w:b w:val="1"/>
          <w:bCs w:val="1"/>
          <w:noProof w:val="0"/>
          <w:sz w:val="24"/>
          <w:szCs w:val="24"/>
          <w:lang w:val="en-US"/>
        </w:rPr>
      </w:pPr>
    </w:p>
    <w:p w:rsidR="19AF3060" w:rsidP="19AF3060" w:rsidRDefault="19AF3060" w14:paraId="38DA6045" w14:textId="0C62CA4B">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Present Governance Structures and Challenges</w:t>
      </w:r>
    </w:p>
    <w:p w:rsidR="19AF3060" w:rsidP="0C61C7D9" w:rsidRDefault="19AF3060" w14:paraId="1FD66317" w14:textId="268281DB">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The governance of Higher Education Institutions (HEIs) in India today is a multifaceted system involving various regulatory bodies, institutional models, and evolving challenges. Effective governance is essential for ensuring quality education, promoting research, and fostering innovation. However, several structural and operational hurdles continue to </w:t>
      </w:r>
      <w:r w:rsidRPr="0C61C7D9" w:rsidR="4431F400">
        <w:rPr>
          <w:rFonts w:ascii="Times New Roman" w:hAnsi="Times New Roman" w:eastAsia="Times New Roman" w:cs="Times New Roman"/>
          <w:noProof w:val="0"/>
          <w:lang w:val="en-US"/>
        </w:rPr>
        <w:t>impact</w:t>
      </w:r>
      <w:r w:rsidRPr="0C61C7D9" w:rsidR="4431F400">
        <w:rPr>
          <w:rFonts w:ascii="Times New Roman" w:hAnsi="Times New Roman" w:eastAsia="Times New Roman" w:cs="Times New Roman"/>
          <w:noProof w:val="0"/>
          <w:lang w:val="en-US"/>
        </w:rPr>
        <w:t xml:space="preserve"> the efficacy of HEIs in achieving their educational and societal goals.</w:t>
      </w:r>
    </w:p>
    <w:p w:rsidR="19AF3060" w:rsidP="0C61C7D9" w:rsidRDefault="19AF3060" w14:paraId="07F99857" w14:textId="181E6084">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0C61C7D9" w:rsidR="4431F400">
        <w:rPr>
          <w:rFonts w:ascii="Times New Roman" w:hAnsi="Times New Roman" w:eastAsia="Times New Roman" w:cs="Times New Roman"/>
          <w:b w:val="0"/>
          <w:bCs w:val="0"/>
          <w:noProof w:val="0"/>
          <w:color w:val="auto"/>
          <w:sz w:val="24"/>
          <w:szCs w:val="24"/>
          <w:lang w:val="en-US"/>
        </w:rPr>
        <w:t>Role of Regulatory Bodies: UGC, AICTE, and MHRD</w:t>
      </w:r>
    </w:p>
    <w:p w:rsidR="19AF3060" w:rsidP="0C61C7D9" w:rsidRDefault="19AF3060" w14:paraId="24B1231F" w14:textId="58E2FC16">
      <w:pPr>
        <w:pStyle w:val="Normal"/>
        <w:spacing w:before="240" w:beforeAutospacing="off" w:after="240" w:afterAutospacing="off"/>
        <w:ind w:left="0"/>
        <w:jc w:val="both"/>
        <w:rPr>
          <w:rFonts w:ascii="Times New Roman" w:hAnsi="Times New Roman" w:eastAsia="Times New Roman" w:cs="Times New Roman"/>
          <w:b w:val="1"/>
          <w:bCs w:val="1"/>
          <w:noProof w:val="0"/>
          <w:lang w:val="en-US"/>
        </w:rPr>
      </w:pPr>
      <w:r w:rsidRPr="0C61C7D9" w:rsidR="4431F400">
        <w:rPr>
          <w:rFonts w:ascii="Times New Roman" w:hAnsi="Times New Roman" w:eastAsia="Times New Roman" w:cs="Times New Roman"/>
          <w:b w:val="1"/>
          <w:bCs w:val="1"/>
          <w:noProof w:val="0"/>
          <w:lang w:val="en-US"/>
        </w:rPr>
        <w:t>University Grants Commission (UGC):</w:t>
      </w:r>
    </w:p>
    <w:p w:rsidR="19AF3060" w:rsidP="0C61C7D9" w:rsidRDefault="19AF3060" w14:paraId="6235C767" w14:textId="7D5E334F">
      <w:pPr>
        <w:spacing w:before="240" w:beforeAutospacing="off" w:after="240" w:afterAutospacing="off"/>
        <w:ind w:left="0"/>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Established in 1956, the UGC is the apex regulatory body responsible for coordinating, </w:t>
      </w:r>
      <w:r w:rsidRPr="0C61C7D9" w:rsidR="4431F400">
        <w:rPr>
          <w:rFonts w:ascii="Times New Roman" w:hAnsi="Times New Roman" w:eastAsia="Times New Roman" w:cs="Times New Roman"/>
          <w:noProof w:val="0"/>
          <w:lang w:val="en-US"/>
        </w:rPr>
        <w:t>determining</w:t>
      </w:r>
      <w:r w:rsidRPr="0C61C7D9" w:rsidR="4431F400">
        <w:rPr>
          <w:rFonts w:ascii="Times New Roman" w:hAnsi="Times New Roman" w:eastAsia="Times New Roman" w:cs="Times New Roman"/>
          <w:noProof w:val="0"/>
          <w:lang w:val="en-US"/>
        </w:rPr>
        <w:t xml:space="preserve">, and </w:t>
      </w:r>
      <w:r w:rsidRPr="0C61C7D9" w:rsidR="4431F400">
        <w:rPr>
          <w:rFonts w:ascii="Times New Roman" w:hAnsi="Times New Roman" w:eastAsia="Times New Roman" w:cs="Times New Roman"/>
          <w:noProof w:val="0"/>
          <w:lang w:val="en-US"/>
        </w:rPr>
        <w:t>maintaining</w:t>
      </w:r>
      <w:r w:rsidRPr="0C61C7D9" w:rsidR="4431F400">
        <w:rPr>
          <w:rFonts w:ascii="Times New Roman" w:hAnsi="Times New Roman" w:eastAsia="Times New Roman" w:cs="Times New Roman"/>
          <w:noProof w:val="0"/>
          <w:lang w:val="en-US"/>
        </w:rPr>
        <w:t xml:space="preserve"> standards of higher education in India. It plays a pivotal role in </w:t>
      </w:r>
      <w:r w:rsidRPr="0C61C7D9" w:rsidR="4431F400">
        <w:rPr>
          <w:rFonts w:ascii="Times New Roman" w:hAnsi="Times New Roman" w:eastAsia="Times New Roman" w:cs="Times New Roman"/>
          <w:noProof w:val="0"/>
          <w:lang w:val="en-US"/>
        </w:rPr>
        <w:t>allocating</w:t>
      </w:r>
      <w:r w:rsidRPr="0C61C7D9" w:rsidR="4431F400">
        <w:rPr>
          <w:rFonts w:ascii="Times New Roman" w:hAnsi="Times New Roman" w:eastAsia="Times New Roman" w:cs="Times New Roman"/>
          <w:noProof w:val="0"/>
          <w:lang w:val="en-US"/>
        </w:rPr>
        <w:t xml:space="preserve"> funds to central and state universities and ensuring compliance with academic standards.</w:t>
      </w:r>
      <w:r w:rsidRPr="0C61C7D9">
        <w:rPr>
          <w:rStyle w:val="FootnoteReference"/>
          <w:rFonts w:ascii="Times New Roman" w:hAnsi="Times New Roman" w:eastAsia="Times New Roman" w:cs="Times New Roman"/>
          <w:noProof w:val="0"/>
          <w:lang w:val="en-US"/>
        </w:rPr>
        <w:footnoteReference w:id="12542"/>
      </w:r>
      <w:r w:rsidRPr="0C61C7D9" w:rsidR="4431F400">
        <w:rPr>
          <w:rFonts w:ascii="Times New Roman" w:hAnsi="Times New Roman" w:eastAsia="Times New Roman" w:cs="Times New Roman"/>
          <w:noProof w:val="0"/>
          <w:lang w:val="en-US"/>
        </w:rPr>
        <w:t xml:space="preserve"> The UGC also sets guidelines for curriculum design, faculty appointments, and infrastructure development. Despite its critical role, the UGC has often been criticized for bureaucratic delays and inconsistent enforcement of standards, which sometimes hampers institutional autonomy.</w:t>
      </w:r>
    </w:p>
    <w:p w:rsidR="19AF3060" w:rsidP="0C61C7D9" w:rsidRDefault="19AF3060" w14:paraId="0ACF3DBC" w14:textId="1CB31B9F">
      <w:pPr>
        <w:pStyle w:val="Normal"/>
        <w:spacing w:before="240" w:beforeAutospacing="off" w:after="240" w:afterAutospacing="off"/>
        <w:ind w:left="0"/>
        <w:jc w:val="both"/>
        <w:rPr>
          <w:rFonts w:ascii="Times New Roman" w:hAnsi="Times New Roman" w:eastAsia="Times New Roman" w:cs="Times New Roman"/>
          <w:b w:val="1"/>
          <w:bCs w:val="1"/>
          <w:noProof w:val="0"/>
          <w:lang w:val="en-US"/>
        </w:rPr>
      </w:pPr>
      <w:r w:rsidRPr="0C61C7D9" w:rsidR="4431F400">
        <w:rPr>
          <w:rFonts w:ascii="Times New Roman" w:hAnsi="Times New Roman" w:eastAsia="Times New Roman" w:cs="Times New Roman"/>
          <w:b w:val="1"/>
          <w:bCs w:val="1"/>
          <w:noProof w:val="0"/>
          <w:lang w:val="en-US"/>
        </w:rPr>
        <w:t>All India Council for Technical Education (AICTE):</w:t>
      </w:r>
    </w:p>
    <w:p w:rsidR="19AF3060" w:rsidP="0C61C7D9" w:rsidRDefault="19AF3060" w14:paraId="30FEBA0F" w14:textId="033530C2">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Formed in 1987, AICTE oversees technical and professional education, including engineering, management, and pharmacy institutions. It ensures that institutions adhere to quality norms, approves new courses, and </w:t>
      </w:r>
      <w:r w:rsidRPr="0C61C7D9" w:rsidR="4431F400">
        <w:rPr>
          <w:rFonts w:ascii="Times New Roman" w:hAnsi="Times New Roman" w:eastAsia="Times New Roman" w:cs="Times New Roman"/>
          <w:noProof w:val="0"/>
          <w:lang w:val="en-US"/>
        </w:rPr>
        <w:t>monitors</w:t>
      </w:r>
      <w:r w:rsidRPr="0C61C7D9" w:rsidR="4431F400">
        <w:rPr>
          <w:rFonts w:ascii="Times New Roman" w:hAnsi="Times New Roman" w:eastAsia="Times New Roman" w:cs="Times New Roman"/>
          <w:noProof w:val="0"/>
          <w:lang w:val="en-US"/>
        </w:rPr>
        <w:t xml:space="preserve"> the performance of technical colleges. AICTE has introduced several reforms to improve quality, such as mandatory accreditation and outcome-based education frameworks. However, the proliferation of substandard technical institutes and challenges in enforcing regulations </w:t>
      </w:r>
      <w:r w:rsidRPr="0C61C7D9" w:rsidR="4431F400">
        <w:rPr>
          <w:rFonts w:ascii="Times New Roman" w:hAnsi="Times New Roman" w:eastAsia="Times New Roman" w:cs="Times New Roman"/>
          <w:noProof w:val="0"/>
          <w:lang w:val="en-US"/>
        </w:rPr>
        <w:t>remain</w:t>
      </w:r>
      <w:r w:rsidRPr="0C61C7D9" w:rsidR="4431F400">
        <w:rPr>
          <w:rFonts w:ascii="Times New Roman" w:hAnsi="Times New Roman" w:eastAsia="Times New Roman" w:cs="Times New Roman"/>
          <w:noProof w:val="0"/>
          <w:lang w:val="en-US"/>
        </w:rPr>
        <w:t xml:space="preserve"> significant concerns.</w:t>
      </w:r>
    </w:p>
    <w:p w:rsidR="19AF3060" w:rsidP="0C61C7D9" w:rsidRDefault="19AF3060" w14:paraId="57A6CFEB" w14:textId="757F16A5">
      <w:pPr>
        <w:pStyle w:val="Normal"/>
        <w:spacing w:before="240" w:beforeAutospacing="off" w:after="240" w:afterAutospacing="off"/>
        <w:ind w:left="0"/>
        <w:jc w:val="both"/>
        <w:rPr>
          <w:rFonts w:ascii="Times New Roman" w:hAnsi="Times New Roman" w:eastAsia="Times New Roman" w:cs="Times New Roman"/>
          <w:b w:val="1"/>
          <w:bCs w:val="1"/>
          <w:noProof w:val="0"/>
          <w:lang w:val="en-US"/>
        </w:rPr>
      </w:pPr>
      <w:r w:rsidRPr="0C61C7D9" w:rsidR="4431F400">
        <w:rPr>
          <w:rFonts w:ascii="Times New Roman" w:hAnsi="Times New Roman" w:eastAsia="Times New Roman" w:cs="Times New Roman"/>
          <w:b w:val="1"/>
          <w:bCs w:val="1"/>
          <w:noProof w:val="0"/>
          <w:lang w:val="en-US"/>
        </w:rPr>
        <w:t>Ministry of Human Resource Development (MHRD) (Now Ministry of Education):</w:t>
      </w:r>
    </w:p>
    <w:p w:rsidR="19AF3060" w:rsidP="0C61C7D9" w:rsidRDefault="19AF3060" w14:paraId="6FD04709" w14:textId="2F3780D0">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The MHRD (renamed the Ministry of Education in 2020) </w:t>
      </w:r>
      <w:r w:rsidRPr="0C61C7D9" w:rsidR="4431F400">
        <w:rPr>
          <w:rFonts w:ascii="Times New Roman" w:hAnsi="Times New Roman" w:eastAsia="Times New Roman" w:cs="Times New Roman"/>
          <w:noProof w:val="0"/>
          <w:lang w:val="en-US"/>
        </w:rPr>
        <w:t>is responsible for</w:t>
      </w:r>
      <w:r w:rsidRPr="0C61C7D9" w:rsidR="4431F400">
        <w:rPr>
          <w:rFonts w:ascii="Times New Roman" w:hAnsi="Times New Roman" w:eastAsia="Times New Roman" w:cs="Times New Roman"/>
          <w:noProof w:val="0"/>
          <w:lang w:val="en-US"/>
        </w:rPr>
        <w:t xml:space="preserve"> the overall development of the education sector, including formulating policies and implementing programs. It oversees both the UGC and AICTE and plays a crucial role in shaping the direction of higher education in India. The Ministry's initiatives, such as the National Institutional Ranking Framework (NIRF) and </w:t>
      </w:r>
      <w:proofErr w:type="spellStart"/>
      <w:r w:rsidRPr="0C61C7D9" w:rsidR="4431F400">
        <w:rPr>
          <w:rFonts w:ascii="Times New Roman" w:hAnsi="Times New Roman" w:eastAsia="Times New Roman" w:cs="Times New Roman"/>
          <w:noProof w:val="0"/>
          <w:lang w:val="en-US"/>
        </w:rPr>
        <w:t>Rashtriya</w:t>
      </w:r>
      <w:proofErr w:type="spellEnd"/>
      <w:r w:rsidRPr="0C61C7D9" w:rsidR="4431F400">
        <w:rPr>
          <w:rFonts w:ascii="Times New Roman" w:hAnsi="Times New Roman" w:eastAsia="Times New Roman" w:cs="Times New Roman"/>
          <w:noProof w:val="0"/>
          <w:lang w:val="en-US"/>
        </w:rPr>
        <w:t xml:space="preserve"> </w:t>
      </w:r>
      <w:proofErr w:type="spellStart"/>
      <w:r w:rsidRPr="0C61C7D9" w:rsidR="4431F400">
        <w:rPr>
          <w:rFonts w:ascii="Times New Roman" w:hAnsi="Times New Roman" w:eastAsia="Times New Roman" w:cs="Times New Roman"/>
          <w:noProof w:val="0"/>
          <w:lang w:val="en-US"/>
        </w:rPr>
        <w:t>Uchchatar</w:t>
      </w:r>
      <w:proofErr w:type="spellEnd"/>
      <w:r w:rsidRPr="0C61C7D9" w:rsidR="4431F400">
        <w:rPr>
          <w:rFonts w:ascii="Times New Roman" w:hAnsi="Times New Roman" w:eastAsia="Times New Roman" w:cs="Times New Roman"/>
          <w:noProof w:val="0"/>
          <w:lang w:val="en-US"/>
        </w:rPr>
        <w:t xml:space="preserve"> Shiksha Abhiyan (RUSA), aim to enhance quality and access.</w:t>
      </w:r>
      <w:r w:rsidRPr="0C61C7D9">
        <w:rPr>
          <w:rStyle w:val="FootnoteReference"/>
          <w:rFonts w:ascii="Times New Roman" w:hAnsi="Times New Roman" w:eastAsia="Times New Roman" w:cs="Times New Roman"/>
          <w:noProof w:val="0"/>
          <w:lang w:val="en-US"/>
        </w:rPr>
        <w:footnoteReference w:id="32137"/>
      </w:r>
      <w:r w:rsidRPr="0C61C7D9" w:rsidR="4431F400">
        <w:rPr>
          <w:rFonts w:ascii="Times New Roman" w:hAnsi="Times New Roman" w:eastAsia="Times New Roman" w:cs="Times New Roman"/>
          <w:noProof w:val="0"/>
          <w:lang w:val="en-US"/>
        </w:rPr>
        <w:t xml:space="preserve"> However, policy implementation often faces challenges due to bureaucratic inertia and a lack of coordination between central and state authorities.</w:t>
      </w:r>
    </w:p>
    <w:p w:rsidR="19AF3060" w:rsidP="0C61C7D9" w:rsidRDefault="19AF3060" w14:paraId="7C93FC62" w14:textId="76743EA0">
      <w:pPr>
        <w:jc w:val="both"/>
        <w:rPr>
          <w:rFonts w:ascii="Times New Roman" w:hAnsi="Times New Roman" w:eastAsia="Times New Roman" w:cs="Times New Roman"/>
        </w:rPr>
      </w:pPr>
    </w:p>
    <w:p w:rsidR="19AF3060" w:rsidP="0C61C7D9" w:rsidRDefault="19AF3060" w14:paraId="5B1706BC" w14:textId="48C48508">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0C61C7D9" w:rsidR="32C98A1D">
        <w:rPr>
          <w:rFonts w:ascii="Times New Roman" w:hAnsi="Times New Roman" w:eastAsia="Times New Roman" w:cs="Times New Roman"/>
          <w:b w:val="0"/>
          <w:bCs w:val="0"/>
          <w:noProof w:val="0"/>
          <w:color w:val="auto"/>
          <w:sz w:val="24"/>
          <w:szCs w:val="24"/>
          <w:lang w:val="en-US"/>
        </w:rPr>
        <w:t>Types of Governance Models</w:t>
      </w:r>
    </w:p>
    <w:p w:rsidR="19AF3060" w:rsidP="0C61C7D9" w:rsidRDefault="19AF3060" w14:paraId="17D82ECD" w14:textId="1288DE6C">
      <w:pPr>
        <w:pStyle w:val="Normal"/>
        <w:spacing w:before="240" w:beforeAutospacing="off" w:after="240" w:afterAutospacing="off"/>
        <w:ind w:left="0"/>
        <w:jc w:val="both"/>
        <w:rPr>
          <w:rFonts w:ascii="Times New Roman" w:hAnsi="Times New Roman" w:eastAsia="Times New Roman" w:cs="Times New Roman"/>
          <w:b w:val="1"/>
          <w:bCs w:val="1"/>
          <w:noProof w:val="0"/>
          <w:lang w:val="en-US"/>
        </w:rPr>
      </w:pPr>
      <w:r w:rsidRPr="0C61C7D9" w:rsidR="4431F400">
        <w:rPr>
          <w:rFonts w:ascii="Times New Roman" w:hAnsi="Times New Roman" w:eastAsia="Times New Roman" w:cs="Times New Roman"/>
          <w:b w:val="1"/>
          <w:bCs w:val="1"/>
          <w:noProof w:val="0"/>
          <w:lang w:val="en-US"/>
        </w:rPr>
        <w:t>Central Universities:</w:t>
      </w:r>
    </w:p>
    <w:p w:rsidR="19AF3060" w:rsidP="0C61C7D9" w:rsidRDefault="19AF3060" w14:paraId="07680F16" w14:textId="75F66C25">
      <w:pPr>
        <w:spacing w:before="240" w:beforeAutospacing="off" w:after="240" w:afterAutospacing="off"/>
        <w:jc w:val="both"/>
        <w:rPr>
          <w:rFonts w:ascii="Times New Roman" w:hAnsi="Times New Roman" w:eastAsia="Times New Roman" w:cs="Times New Roman"/>
          <w:noProof w:val="0"/>
          <w:lang w:val="en-US"/>
        </w:rPr>
      </w:pPr>
      <w:r w:rsidRPr="0C61C7D9" w:rsidR="32C98A1D">
        <w:rPr>
          <w:rFonts w:ascii="Times New Roman" w:hAnsi="Times New Roman" w:eastAsia="Times New Roman" w:cs="Times New Roman"/>
          <w:noProof w:val="0"/>
          <w:lang w:val="en-US"/>
        </w:rPr>
        <w:t>Central universities are funded and governed directly by the central government. They are considered more prestigious due to better funding, infrastructure, and academic standards. Examples include Jawaharlal Nehru University (JNU) and Delhi University. These institutions follow governance structures involving a Chancellor (usually the President of India), Vice-Chancellor, Academic Council, and Executive Council. While central universities enjoy substantial autonomy, they are also subject to political scrutiny, which sometimes affects academic freedom.</w:t>
      </w:r>
    </w:p>
    <w:p w:rsidR="5811D63D" w:rsidP="0C61C7D9" w:rsidRDefault="5811D63D" w14:paraId="6C4AB39B" w14:textId="6BF442EA">
      <w:pPr>
        <w:pStyle w:val="Normal"/>
        <w:spacing w:before="240" w:beforeAutospacing="off" w:after="240" w:afterAutospacing="off"/>
        <w:ind w:left="0"/>
        <w:jc w:val="both"/>
        <w:rPr>
          <w:rFonts w:ascii="Times New Roman" w:hAnsi="Times New Roman" w:eastAsia="Times New Roman" w:cs="Times New Roman"/>
          <w:b w:val="1"/>
          <w:bCs w:val="1"/>
          <w:noProof w:val="0"/>
          <w:lang w:val="en-US"/>
        </w:rPr>
      </w:pPr>
    </w:p>
    <w:p w:rsidR="5811D63D" w:rsidP="0C61C7D9" w:rsidRDefault="5811D63D" w14:paraId="3B6C98F0" w14:textId="61DE7F2F">
      <w:pPr>
        <w:pStyle w:val="Normal"/>
        <w:spacing w:before="240" w:beforeAutospacing="off" w:after="240" w:afterAutospacing="off"/>
        <w:ind w:left="0"/>
        <w:jc w:val="both"/>
        <w:rPr>
          <w:rFonts w:ascii="Times New Roman" w:hAnsi="Times New Roman" w:eastAsia="Times New Roman" w:cs="Times New Roman"/>
          <w:b w:val="1"/>
          <w:bCs w:val="1"/>
          <w:noProof w:val="0"/>
          <w:lang w:val="en-US"/>
        </w:rPr>
      </w:pPr>
    </w:p>
    <w:p w:rsidR="19AF3060" w:rsidP="0C61C7D9" w:rsidRDefault="19AF3060" w14:paraId="196EFA33" w14:textId="34A1FB2A">
      <w:pPr>
        <w:pStyle w:val="Normal"/>
        <w:spacing w:before="240" w:beforeAutospacing="off" w:after="240" w:afterAutospacing="off"/>
        <w:ind w:left="0"/>
        <w:jc w:val="both"/>
        <w:rPr>
          <w:rFonts w:ascii="Times New Roman" w:hAnsi="Times New Roman" w:eastAsia="Times New Roman" w:cs="Times New Roman"/>
          <w:b w:val="0"/>
          <w:bCs w:val="0"/>
          <w:noProof w:val="0"/>
          <w:lang w:val="en-US"/>
        </w:rPr>
      </w:pPr>
      <w:r w:rsidRPr="0C61C7D9" w:rsidR="4431F400">
        <w:rPr>
          <w:rFonts w:ascii="Times New Roman" w:hAnsi="Times New Roman" w:eastAsia="Times New Roman" w:cs="Times New Roman"/>
          <w:b w:val="0"/>
          <w:bCs w:val="0"/>
          <w:noProof w:val="0"/>
          <w:lang w:val="en-US"/>
        </w:rPr>
        <w:t>State Universities:</w:t>
      </w:r>
    </w:p>
    <w:p w:rsidR="19AF3060" w:rsidP="0C61C7D9" w:rsidRDefault="19AF3060" w14:paraId="2ACFCB80" w14:textId="5E568649">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State universities are </w:t>
      </w:r>
      <w:r w:rsidRPr="0C61C7D9" w:rsidR="4431F400">
        <w:rPr>
          <w:rFonts w:ascii="Times New Roman" w:hAnsi="Times New Roman" w:eastAsia="Times New Roman" w:cs="Times New Roman"/>
          <w:noProof w:val="0"/>
          <w:lang w:val="en-US"/>
        </w:rPr>
        <w:t>established</w:t>
      </w:r>
      <w:r w:rsidRPr="0C61C7D9" w:rsidR="4431F400">
        <w:rPr>
          <w:rFonts w:ascii="Times New Roman" w:hAnsi="Times New Roman" w:eastAsia="Times New Roman" w:cs="Times New Roman"/>
          <w:noProof w:val="0"/>
          <w:lang w:val="en-US"/>
        </w:rPr>
        <w:t xml:space="preserve"> and funded by state governments. They cater to a larger population but often face challenges related to funding, infrastructure, and quality. Governance structures include a Chancellor (usually the state governor), Vice-Chancellor, and various administrative councils. State universities often grapple with political interference, bureaucratic delays, and inconsistent quality standards due to varying levels of state government support.</w:t>
      </w:r>
      <w:r w:rsidRPr="0C61C7D9">
        <w:rPr>
          <w:rStyle w:val="FootnoteReference"/>
          <w:rFonts w:ascii="Times New Roman" w:hAnsi="Times New Roman" w:eastAsia="Times New Roman" w:cs="Times New Roman"/>
          <w:noProof w:val="0"/>
          <w:lang w:val="en-US"/>
        </w:rPr>
        <w:footnoteReference w:id="31460"/>
      </w:r>
    </w:p>
    <w:p w:rsidR="19AF3060" w:rsidP="0C61C7D9" w:rsidRDefault="19AF3060" w14:paraId="050FA023" w14:textId="14D57386">
      <w:pPr>
        <w:pStyle w:val="Normal"/>
        <w:spacing w:before="240" w:beforeAutospacing="off" w:after="240" w:afterAutospacing="off"/>
        <w:ind w:left="0"/>
        <w:jc w:val="both"/>
        <w:rPr>
          <w:rFonts w:ascii="Times New Roman" w:hAnsi="Times New Roman" w:eastAsia="Times New Roman" w:cs="Times New Roman"/>
          <w:b w:val="0"/>
          <w:bCs w:val="0"/>
          <w:noProof w:val="0"/>
          <w:lang w:val="en-US"/>
        </w:rPr>
      </w:pPr>
      <w:r w:rsidRPr="0C61C7D9" w:rsidR="4431F400">
        <w:rPr>
          <w:rFonts w:ascii="Times New Roman" w:hAnsi="Times New Roman" w:eastAsia="Times New Roman" w:cs="Times New Roman"/>
          <w:b w:val="0"/>
          <w:bCs w:val="0"/>
          <w:noProof w:val="0"/>
          <w:lang w:val="en-US"/>
        </w:rPr>
        <w:t>Private Institutions:</w:t>
      </w:r>
    </w:p>
    <w:p w:rsidR="19AF3060" w:rsidP="0C61C7D9" w:rsidRDefault="19AF3060" w14:paraId="477C995E" w14:textId="4BCD5EFE">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The rise of private universities and colleges has significantly expanded access to higher education. These institutions are governed by their respective boards and management committees, with regulatory oversight from bodies like UGC and AICTE. Private institutions often enjoy greater autonomy and flexibility in decision-making, which can lead to innovation and higher standards in some cases.</w:t>
      </w:r>
      <w:r w:rsidRPr="0C61C7D9">
        <w:rPr>
          <w:rStyle w:val="FootnoteReference"/>
          <w:rFonts w:ascii="Times New Roman" w:hAnsi="Times New Roman" w:eastAsia="Times New Roman" w:cs="Times New Roman"/>
          <w:noProof w:val="0"/>
          <w:lang w:val="en-US"/>
        </w:rPr>
        <w:footnoteReference w:id="14634"/>
      </w:r>
      <w:r w:rsidRPr="0C61C7D9" w:rsidR="4431F400">
        <w:rPr>
          <w:rFonts w:ascii="Times New Roman" w:hAnsi="Times New Roman" w:eastAsia="Times New Roman" w:cs="Times New Roman"/>
          <w:noProof w:val="0"/>
          <w:lang w:val="en-US"/>
        </w:rPr>
        <w:t xml:space="preserve"> However, concerns about commercialization, high tuition fees, and quality disparities persist. Regulatory oversight of private institutions is sometimes seen as insufficient, leading to instances of malpractice and exploitation.</w:t>
      </w:r>
    </w:p>
    <w:p w:rsidR="19AF3060" w:rsidP="0C61C7D9" w:rsidRDefault="19AF3060" w14:paraId="42B7589F" w14:textId="404C0E78">
      <w:pPr>
        <w:jc w:val="both"/>
        <w:rPr>
          <w:rFonts w:ascii="Times New Roman" w:hAnsi="Times New Roman" w:eastAsia="Times New Roman" w:cs="Times New Roman"/>
        </w:rPr>
      </w:pPr>
    </w:p>
    <w:p w:rsidR="19AF3060" w:rsidP="0C61C7D9" w:rsidRDefault="19AF3060" w14:paraId="6EB4738D" w14:textId="360BF8A4">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0C61C7D9" w:rsidR="32C98A1D">
        <w:rPr>
          <w:rFonts w:ascii="Times New Roman" w:hAnsi="Times New Roman" w:eastAsia="Times New Roman" w:cs="Times New Roman"/>
          <w:b w:val="0"/>
          <w:bCs w:val="0"/>
          <w:noProof w:val="0"/>
          <w:color w:val="auto"/>
          <w:sz w:val="24"/>
          <w:szCs w:val="24"/>
          <w:lang w:val="en-US"/>
        </w:rPr>
        <w:t>Key Challenges</w:t>
      </w:r>
    </w:p>
    <w:p w:rsidR="19AF3060" w:rsidP="0C61C7D9" w:rsidRDefault="19AF3060" w14:paraId="485B4112" w14:textId="567F8F4F">
      <w:pPr>
        <w:pStyle w:val="Normal"/>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b w:val="1"/>
          <w:bCs w:val="1"/>
          <w:noProof w:val="0"/>
          <w:lang w:val="en-US"/>
        </w:rPr>
        <w:t>1.  Bureaucracy:</w:t>
      </w:r>
    </w:p>
    <w:p w:rsidR="19AF3060" w:rsidP="0C61C7D9" w:rsidRDefault="19AF3060" w14:paraId="66CA14F2" w14:textId="60B41BC7">
      <w:pPr>
        <w:pStyle w:val="Normal"/>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One of the most significant challenges in the governance of HEIs in India is bureaucratic inertia. Regulatory processes are often slow, cumbersome, and centralized, leading to delays in decision-making and implementation. Institutions </w:t>
      </w:r>
      <w:r w:rsidRPr="0C61C7D9" w:rsidR="4431F400">
        <w:rPr>
          <w:rFonts w:ascii="Times New Roman" w:hAnsi="Times New Roman" w:eastAsia="Times New Roman" w:cs="Times New Roman"/>
          <w:noProof w:val="0"/>
          <w:lang w:val="en-US"/>
        </w:rPr>
        <w:t>frequently</w:t>
      </w:r>
      <w:r w:rsidRPr="0C61C7D9" w:rsidR="4431F400">
        <w:rPr>
          <w:rFonts w:ascii="Times New Roman" w:hAnsi="Times New Roman" w:eastAsia="Times New Roman" w:cs="Times New Roman"/>
          <w:noProof w:val="0"/>
          <w:lang w:val="en-US"/>
        </w:rPr>
        <w:t xml:space="preserve"> </w:t>
      </w:r>
      <w:r w:rsidRPr="0C61C7D9" w:rsidR="4431F400">
        <w:rPr>
          <w:rFonts w:ascii="Times New Roman" w:hAnsi="Times New Roman" w:eastAsia="Times New Roman" w:cs="Times New Roman"/>
          <w:noProof w:val="0"/>
          <w:lang w:val="en-US"/>
        </w:rPr>
        <w:t>encounter</w:t>
      </w:r>
      <w:r w:rsidRPr="0C61C7D9" w:rsidR="4431F400">
        <w:rPr>
          <w:rFonts w:ascii="Times New Roman" w:hAnsi="Times New Roman" w:eastAsia="Times New Roman" w:cs="Times New Roman"/>
          <w:noProof w:val="0"/>
          <w:lang w:val="en-US"/>
        </w:rPr>
        <w:t xml:space="preserve"> red tape when seeking approvals for new courses, infrastructure projects, or academic collaborations. This stifles innovation and hinders responsiveness to changing educational needs.</w:t>
      </w:r>
    </w:p>
    <w:p w:rsidR="19AF3060" w:rsidP="0C61C7D9" w:rsidRDefault="19AF3060" w14:paraId="151920E4" w14:textId="12A3B3D0">
      <w:pPr>
        <w:pStyle w:val="Normal"/>
        <w:spacing w:before="240" w:beforeAutospacing="off" w:after="240" w:afterAutospacing="off"/>
        <w:ind w:left="0"/>
        <w:jc w:val="both"/>
        <w:rPr>
          <w:rFonts w:ascii="Times New Roman" w:hAnsi="Times New Roman" w:eastAsia="Times New Roman" w:cs="Times New Roman"/>
          <w:b w:val="1"/>
          <w:bCs w:val="1"/>
          <w:noProof w:val="0"/>
          <w:lang w:val="en-US"/>
        </w:rPr>
      </w:pPr>
      <w:r w:rsidRPr="0C61C7D9" w:rsidR="4431F400">
        <w:rPr>
          <w:rFonts w:ascii="Times New Roman" w:hAnsi="Times New Roman" w:eastAsia="Times New Roman" w:cs="Times New Roman"/>
          <w:b w:val="1"/>
          <w:bCs w:val="1"/>
          <w:noProof w:val="0"/>
          <w:lang w:val="en-US"/>
        </w:rPr>
        <w:t>2. Funding:</w:t>
      </w:r>
    </w:p>
    <w:p w:rsidR="19AF3060" w:rsidP="0C61C7D9" w:rsidRDefault="19AF3060" w14:paraId="7157460C" w14:textId="14D591F3">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Financial constraints are a critical issue, especially for state universities and public institutions. While central universities receive </w:t>
      </w:r>
      <w:r w:rsidRPr="0C61C7D9" w:rsidR="4431F400">
        <w:rPr>
          <w:rFonts w:ascii="Times New Roman" w:hAnsi="Times New Roman" w:eastAsia="Times New Roman" w:cs="Times New Roman"/>
          <w:noProof w:val="0"/>
          <w:lang w:val="en-US"/>
        </w:rPr>
        <w:t>relatively better</w:t>
      </w:r>
      <w:r w:rsidRPr="0C61C7D9" w:rsidR="4431F400">
        <w:rPr>
          <w:rFonts w:ascii="Times New Roman" w:hAnsi="Times New Roman" w:eastAsia="Times New Roman" w:cs="Times New Roman"/>
          <w:noProof w:val="0"/>
          <w:lang w:val="en-US"/>
        </w:rPr>
        <w:t xml:space="preserve"> funding, state universities often struggle with inadequate budgets, </w:t>
      </w:r>
      <w:r w:rsidRPr="0C61C7D9" w:rsidR="4431F400">
        <w:rPr>
          <w:rFonts w:ascii="Times New Roman" w:hAnsi="Times New Roman" w:eastAsia="Times New Roman" w:cs="Times New Roman"/>
          <w:noProof w:val="0"/>
          <w:lang w:val="en-US"/>
        </w:rPr>
        <w:t>impacting</w:t>
      </w:r>
      <w:r w:rsidRPr="0C61C7D9" w:rsidR="4431F400">
        <w:rPr>
          <w:rFonts w:ascii="Times New Roman" w:hAnsi="Times New Roman" w:eastAsia="Times New Roman" w:cs="Times New Roman"/>
          <w:noProof w:val="0"/>
          <w:lang w:val="en-US"/>
        </w:rPr>
        <w:t xml:space="preserve"> infrastructure, faculty recruitment, and research activities. The dependence on government grants also limits institutional autonomy. Private institutions, on the other hand, rely heavily on student fees, leading to accessibility concerns and a focus on profitability over quality.</w:t>
      </w:r>
    </w:p>
    <w:p w:rsidR="19AF3060" w:rsidP="0C61C7D9" w:rsidRDefault="19AF3060" w14:paraId="063F5ACA" w14:textId="1E5CC6A3">
      <w:pPr>
        <w:pStyle w:val="Normal"/>
        <w:spacing w:before="240" w:beforeAutospacing="off" w:after="240" w:afterAutospacing="off"/>
        <w:ind w:left="0"/>
        <w:jc w:val="both"/>
        <w:rPr>
          <w:rFonts w:ascii="Times New Roman" w:hAnsi="Times New Roman" w:eastAsia="Times New Roman" w:cs="Times New Roman"/>
          <w:b w:val="1"/>
          <w:bCs w:val="1"/>
          <w:noProof w:val="0"/>
          <w:lang w:val="en-US"/>
        </w:rPr>
      </w:pPr>
      <w:r w:rsidRPr="0C61C7D9" w:rsidR="4431F400">
        <w:rPr>
          <w:rFonts w:ascii="Times New Roman" w:hAnsi="Times New Roman" w:eastAsia="Times New Roman" w:cs="Times New Roman"/>
          <w:b w:val="1"/>
          <w:bCs w:val="1"/>
          <w:noProof w:val="0"/>
          <w:lang w:val="en-US"/>
        </w:rPr>
        <w:t>3. Quality Assurance:</w:t>
      </w:r>
    </w:p>
    <w:p w:rsidR="19AF3060" w:rsidP="0C61C7D9" w:rsidRDefault="19AF3060" w14:paraId="34FAD826" w14:textId="0D3F924F">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Ensuring consistent quality across a vast and diverse higher education system is a major challenge. While bodies like NAAC and NBA conduct accreditation, many institutions, particularly in rural areas, lack the resources and infrastructure to meet quality standards.</w:t>
      </w:r>
      <w:r w:rsidRPr="0C61C7D9">
        <w:rPr>
          <w:rStyle w:val="FootnoteReference"/>
          <w:rFonts w:ascii="Times New Roman" w:hAnsi="Times New Roman" w:eastAsia="Times New Roman" w:cs="Times New Roman"/>
          <w:noProof w:val="0"/>
          <w:lang w:val="en-US"/>
        </w:rPr>
        <w:footnoteReference w:id="22407"/>
      </w:r>
      <w:r w:rsidRPr="0C61C7D9" w:rsidR="4431F400">
        <w:rPr>
          <w:rFonts w:ascii="Times New Roman" w:hAnsi="Times New Roman" w:eastAsia="Times New Roman" w:cs="Times New Roman"/>
          <w:noProof w:val="0"/>
          <w:lang w:val="en-US"/>
        </w:rPr>
        <w:t xml:space="preserve"> Additionally, the rapid proliferation of private colleges and technical institutes has diluted quality, as some focus more on commercial gains than academic excellence.</w:t>
      </w:r>
    </w:p>
    <w:p w:rsidR="19AF3060" w:rsidP="0C61C7D9" w:rsidRDefault="19AF3060" w14:paraId="6BD8182B" w14:textId="35504D0A">
      <w:pPr>
        <w:pStyle w:val="Normal"/>
        <w:spacing w:before="240" w:beforeAutospacing="off" w:after="240" w:afterAutospacing="off"/>
        <w:ind w:left="0"/>
        <w:jc w:val="both"/>
        <w:rPr>
          <w:rFonts w:ascii="Times New Roman" w:hAnsi="Times New Roman" w:eastAsia="Times New Roman" w:cs="Times New Roman"/>
          <w:b w:val="1"/>
          <w:bCs w:val="1"/>
          <w:noProof w:val="0"/>
          <w:lang w:val="en-US"/>
        </w:rPr>
      </w:pPr>
      <w:r w:rsidRPr="0C61C7D9" w:rsidR="4431F400">
        <w:rPr>
          <w:rFonts w:ascii="Times New Roman" w:hAnsi="Times New Roman" w:eastAsia="Times New Roman" w:cs="Times New Roman"/>
          <w:b w:val="1"/>
          <w:bCs w:val="1"/>
          <w:noProof w:val="0"/>
          <w:lang w:val="en-US"/>
        </w:rPr>
        <w:t>4. Corruption:</w:t>
      </w:r>
    </w:p>
    <w:p w:rsidR="19AF3060" w:rsidP="0C61C7D9" w:rsidRDefault="19AF3060" w14:paraId="1E75D2E8" w14:textId="67E2093F">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Corruption and nepotism are pervasive issues in higher education governance. Instances of irregularities in faculty appointments, admissions, and examinations undermine the integrity of institutions. Political interference often </w:t>
      </w:r>
      <w:r w:rsidRPr="0C61C7D9" w:rsidR="4431F400">
        <w:rPr>
          <w:rFonts w:ascii="Times New Roman" w:hAnsi="Times New Roman" w:eastAsia="Times New Roman" w:cs="Times New Roman"/>
          <w:noProof w:val="0"/>
          <w:lang w:val="en-US"/>
        </w:rPr>
        <w:t>exacerbates</w:t>
      </w:r>
      <w:r w:rsidRPr="0C61C7D9" w:rsidR="4431F400">
        <w:rPr>
          <w:rFonts w:ascii="Times New Roman" w:hAnsi="Times New Roman" w:eastAsia="Times New Roman" w:cs="Times New Roman"/>
          <w:noProof w:val="0"/>
          <w:lang w:val="en-US"/>
        </w:rPr>
        <w:t xml:space="preserve"> these problems, affecting decision-making processes and leading to a lack of transparency.</w:t>
      </w:r>
      <w:r w:rsidRPr="0C61C7D9">
        <w:rPr>
          <w:rStyle w:val="FootnoteReference"/>
          <w:rFonts w:ascii="Times New Roman" w:hAnsi="Times New Roman" w:eastAsia="Times New Roman" w:cs="Times New Roman"/>
          <w:noProof w:val="0"/>
          <w:lang w:val="en-US"/>
        </w:rPr>
        <w:footnoteReference w:id="21254"/>
      </w:r>
    </w:p>
    <w:p w:rsidR="19AF3060" w:rsidP="0C61C7D9" w:rsidRDefault="19AF3060" w14:paraId="2C130060" w14:textId="0178712D">
      <w:pPr>
        <w:jc w:val="both"/>
        <w:rPr>
          <w:rFonts w:ascii="Times New Roman" w:hAnsi="Times New Roman" w:eastAsia="Times New Roman" w:cs="Times New Roman"/>
        </w:rPr>
      </w:pPr>
    </w:p>
    <w:p w:rsidR="19AF3060" w:rsidP="0C61C7D9" w:rsidRDefault="19AF3060" w14:paraId="3CA2E17B" w14:textId="3AD72480">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0C61C7D9" w:rsidR="4431F400">
        <w:rPr>
          <w:rFonts w:ascii="Times New Roman" w:hAnsi="Times New Roman" w:eastAsia="Times New Roman" w:cs="Times New Roman"/>
          <w:b w:val="0"/>
          <w:bCs w:val="0"/>
          <w:noProof w:val="0"/>
          <w:color w:val="auto"/>
          <w:sz w:val="24"/>
          <w:szCs w:val="24"/>
          <w:lang w:val="en-US"/>
        </w:rPr>
        <w:t>Impact of Globalization and Privatization</w:t>
      </w:r>
    </w:p>
    <w:p w:rsidR="19AF3060" w:rsidP="0C61C7D9" w:rsidRDefault="19AF3060" w14:paraId="1C11EAF6" w14:textId="192A1CF7">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The globalization of higher education has introduced both opportunities and challenges. Indian HEIs are increasingly collaborating with foreign universities, leading to the adoption of global best practices and the introduction of innovative programs. However, Indian institutions often face difficulties in competing globally due to outdated curricula, inadequate infrastructure, and limited research output. Governance reforms that promote internationalization, quality benchmarks, and academic freedom are essential to address these challenges.</w:t>
      </w:r>
    </w:p>
    <w:p w:rsidR="19AF3060" w:rsidP="0C61C7D9" w:rsidRDefault="19AF3060" w14:paraId="290ABD67" w14:textId="58E382F1">
      <w:pPr>
        <w:spacing w:before="240" w:beforeAutospacing="off" w:after="240" w:afterAutospacing="off"/>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The liberalization of the higher education sector has led to significant private sector participation, addressing the growing demand for higher education. Private institutions have contributed to increased access, particularly in professional and technical education. However, the focus on profit has raised concerns about the commercialization of education, leading to issues such as exorbitant fees, lack of transparency, and variable quality.</w:t>
      </w:r>
      <w:r w:rsidRPr="0C61C7D9">
        <w:rPr>
          <w:rStyle w:val="FootnoteReference"/>
          <w:rFonts w:ascii="Times New Roman" w:hAnsi="Times New Roman" w:eastAsia="Times New Roman" w:cs="Times New Roman"/>
          <w:noProof w:val="0"/>
          <w:lang w:val="en-US"/>
        </w:rPr>
        <w:footnoteReference w:id="6960"/>
      </w:r>
      <w:r w:rsidRPr="0C61C7D9" w:rsidR="4431F400">
        <w:rPr>
          <w:rFonts w:ascii="Times New Roman" w:hAnsi="Times New Roman" w:eastAsia="Times New Roman" w:cs="Times New Roman"/>
          <w:noProof w:val="0"/>
          <w:lang w:val="en-US"/>
        </w:rPr>
        <w:t xml:space="preserve"> Effective governance frameworks that balance autonomy with accountability are needed to ensure that privatization contributes positively to the education sector.</w:t>
      </w:r>
    </w:p>
    <w:p w:rsidR="19AF3060" w:rsidP="0C61C7D9" w:rsidRDefault="19AF3060" w14:paraId="52E434DD" w14:textId="3EFC8AB3">
      <w:pPr>
        <w:pStyle w:val="Heading3"/>
        <w:jc w:val="both"/>
        <w:rPr>
          <w:rFonts w:ascii="Times New Roman" w:hAnsi="Times New Roman" w:eastAsia="Times New Roman" w:cs="Times New Roman"/>
        </w:rPr>
      </w:pPr>
    </w:p>
    <w:p w:rsidR="19AF3060" w:rsidP="0C61C7D9" w:rsidRDefault="19AF3060" w14:paraId="11F65E8D" w14:textId="3A44B8C2">
      <w:pPr>
        <w:pStyle w:val="Normal"/>
        <w:spacing w:before="240" w:beforeAutospacing="off" w:after="240" w:afterAutospacing="off"/>
        <w:ind w:left="0"/>
        <w:jc w:val="both"/>
        <w:rPr>
          <w:rFonts w:ascii="Times New Roman" w:hAnsi="Times New Roman" w:eastAsia="Times New Roman" w:cs="Times New Roman"/>
          <w:noProof w:val="0"/>
          <w:lang w:val="en-US"/>
        </w:rPr>
      </w:pPr>
      <w:r w:rsidRPr="0C61C7D9" w:rsidR="4431F400">
        <w:rPr>
          <w:rFonts w:ascii="Times New Roman" w:hAnsi="Times New Roman" w:eastAsia="Times New Roman" w:cs="Times New Roman"/>
          <w:noProof w:val="0"/>
          <w:lang w:val="en-US"/>
        </w:rPr>
        <w:t xml:space="preserve">The present governance structures of higher education in India reflect a complex interplay of regulatory bodies, institutional models, and persistent challenges. While regulatory authorities like UGC, AICTE, and the Ministry of Education play crucial roles in </w:t>
      </w:r>
      <w:r w:rsidRPr="0C61C7D9" w:rsidR="4431F400">
        <w:rPr>
          <w:rFonts w:ascii="Times New Roman" w:hAnsi="Times New Roman" w:eastAsia="Times New Roman" w:cs="Times New Roman"/>
          <w:noProof w:val="0"/>
          <w:lang w:val="en-US"/>
        </w:rPr>
        <w:t>maintaining</w:t>
      </w:r>
      <w:r w:rsidRPr="0C61C7D9" w:rsidR="4431F400">
        <w:rPr>
          <w:rFonts w:ascii="Times New Roman" w:hAnsi="Times New Roman" w:eastAsia="Times New Roman" w:cs="Times New Roman"/>
          <w:noProof w:val="0"/>
          <w:lang w:val="en-US"/>
        </w:rPr>
        <w:t xml:space="preserve"> standards and promoting development, bureaucratic hurdles, funding constraints, and quality assurance issues continue to pose significant challenges. The impact of globalization and privatization has further underscored the need for governance reforms that promote transparency, accountability, and academic excellence.</w:t>
      </w:r>
      <w:r w:rsidRPr="0C61C7D9">
        <w:rPr>
          <w:rStyle w:val="FootnoteReference"/>
          <w:rFonts w:ascii="Times New Roman" w:hAnsi="Times New Roman" w:eastAsia="Times New Roman" w:cs="Times New Roman"/>
          <w:noProof w:val="0"/>
          <w:lang w:val="en-US"/>
        </w:rPr>
        <w:footnoteReference w:id="27132"/>
      </w:r>
      <w:r w:rsidRPr="0C61C7D9" w:rsidR="4431F400">
        <w:rPr>
          <w:rFonts w:ascii="Times New Roman" w:hAnsi="Times New Roman" w:eastAsia="Times New Roman" w:cs="Times New Roman"/>
          <w:noProof w:val="0"/>
          <w:lang w:val="en-US"/>
        </w:rPr>
        <w:t xml:space="preserve"> Addressing these challenges through effective policy implementation and institutional reforms is essential for shaping a more dynamic and responsive higher education system in India.</w:t>
      </w:r>
    </w:p>
    <w:p xmlns:wp14="http://schemas.microsoft.com/office/word/2010/wordml" w:rsidP="19AF3060" wp14:paraId="00B02EBD" wp14:textId="4107152D">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p>
    <w:p xmlns:wp14="http://schemas.microsoft.com/office/word/2010/wordml" w:rsidP="0C61C7D9" wp14:paraId="40A4CE5E" wp14:textId="55F68657">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r w:rsidRPr="0C61C7D9" w:rsidR="4431F400">
        <w:rPr>
          <w:rFonts w:ascii="Times New Roman" w:hAnsi="Times New Roman" w:eastAsia="Times New Roman" w:cs="Times New Roman"/>
          <w:b w:val="0"/>
          <w:bCs w:val="0"/>
          <w:noProof w:val="0"/>
          <w:sz w:val="24"/>
          <w:szCs w:val="24"/>
          <w:lang w:val="en-US"/>
        </w:rPr>
        <w:t>National Education Policy 2020: A Paradigm Shift</w:t>
      </w:r>
    </w:p>
    <w:p w:rsidR="19AF3060" w:rsidP="19AF3060" w:rsidRDefault="19AF3060" w14:paraId="20D7F356" w14:textId="27E2848C">
      <w:pPr>
        <w:spacing w:before="240" w:beforeAutospacing="off" w:after="240" w:afterAutospacing="off"/>
        <w:jc w:val="both"/>
      </w:pPr>
      <w:r w:rsidRPr="0C61C7D9" w:rsidR="4431F400">
        <w:rPr>
          <w:rFonts w:ascii="Times New Roman" w:hAnsi="Times New Roman" w:eastAsia="Times New Roman" w:cs="Times New Roman"/>
          <w:noProof w:val="0"/>
          <w:sz w:val="24"/>
          <w:szCs w:val="24"/>
          <w:lang w:val="en-US"/>
        </w:rPr>
        <w:t>The National Education Policy (NEP) 2020 represents a landmark reform in India's educational landscape, especially concerning the governance of Higher Education Institutions (HEIs). With a vision to transform the Indian education system into a more holistic, flexible, multidisciplinary, and inclusive entity, NEP 2020 emphasizes key aspects such as decentralization, institutional autonomy, transparency, accountability, and academic freedom.</w:t>
      </w:r>
      <w:r w:rsidRPr="0C61C7D9">
        <w:rPr>
          <w:rStyle w:val="FootnoteReference"/>
          <w:rFonts w:ascii="Times New Roman" w:hAnsi="Times New Roman" w:eastAsia="Times New Roman" w:cs="Times New Roman"/>
          <w:noProof w:val="0"/>
          <w:sz w:val="24"/>
          <w:szCs w:val="24"/>
          <w:lang w:val="en-US"/>
        </w:rPr>
        <w:footnoteReference w:id="26409"/>
      </w:r>
      <w:r w:rsidRPr="0C61C7D9" w:rsidR="4431F400">
        <w:rPr>
          <w:rFonts w:ascii="Times New Roman" w:hAnsi="Times New Roman" w:eastAsia="Times New Roman" w:cs="Times New Roman"/>
          <w:noProof w:val="0"/>
          <w:sz w:val="24"/>
          <w:szCs w:val="24"/>
          <w:lang w:val="en-US"/>
        </w:rPr>
        <w:t xml:space="preserve"> This policy aims to align the higher education sector with global standards while addressing the unique challenges of the Indian context.</w:t>
      </w:r>
    </w:p>
    <w:p w:rsidR="19AF3060" w:rsidP="19AF3060" w:rsidRDefault="19AF3060" w14:paraId="1B0F9B04" w14:textId="5F814CF6">
      <w:pPr>
        <w:jc w:val="both"/>
      </w:pPr>
    </w:p>
    <w:p w:rsidR="19AF3060" w:rsidP="19AF3060" w:rsidRDefault="19AF3060" w14:paraId="4C4B092B" w14:textId="49AE3925">
      <w:pPr>
        <w:spacing w:before="240" w:beforeAutospacing="off" w:after="240" w:afterAutospacing="off"/>
        <w:jc w:val="both"/>
      </w:pPr>
      <w:r w:rsidRPr="19AF3060" w:rsidR="19AF3060">
        <w:rPr>
          <w:rFonts w:ascii="Times New Roman" w:hAnsi="Times New Roman" w:eastAsia="Times New Roman" w:cs="Times New Roman"/>
          <w:b w:val="1"/>
          <w:bCs w:val="1"/>
          <w:noProof w:val="0"/>
          <w:sz w:val="24"/>
          <w:szCs w:val="24"/>
          <w:lang w:val="en-US"/>
        </w:rPr>
        <w:t>Decentralization:</w:t>
      </w:r>
    </w:p>
    <w:p w:rsidR="19AF3060" w:rsidP="19AF3060" w:rsidRDefault="19AF3060" w14:paraId="6F57BE94" w14:textId="6CEDD61F">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One of the core principles of NEP 2020 is decentralization, moving away from the rigid, top-down regulatory framework that has long characterized Indian higher education. The policy advocates for a more flexible and responsive system where decision-making powers are distributed among various stakeholders, including state governments, universities, and even individual departments. This shift is expected to reduce bureaucratic delays and enhance institutional responsiveness to local and global educational needs.</w:t>
      </w:r>
    </w:p>
    <w:p w:rsidR="19AF3060" w:rsidP="0C61C7D9" w:rsidRDefault="19AF3060" w14:paraId="244741B4" w14:textId="4959C327">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Decentralization also means granting more power to academic and administrative bodies within institutions. By empowering departments and faculty members, NEP 2020 aims to foster innovation in curriculum design, research priorities, and teaching methods. Institutions will have greater freedom to design interdisciplinary programs, collaborate with foreign universities, and tailor educational offerings to meet the evolving demands of the job market.</w:t>
      </w:r>
      <w:r w:rsidRPr="0C61C7D9">
        <w:rPr>
          <w:rStyle w:val="FootnoteReference"/>
          <w:rFonts w:ascii="Times New Roman" w:hAnsi="Times New Roman" w:eastAsia="Times New Roman" w:cs="Times New Roman"/>
          <w:noProof w:val="0"/>
          <w:sz w:val="24"/>
          <w:szCs w:val="24"/>
          <w:lang w:val="en-US"/>
        </w:rPr>
        <w:footnoteReference w:id="5096"/>
      </w:r>
    </w:p>
    <w:p w:rsidR="19AF3060" w:rsidP="19AF3060" w:rsidRDefault="19AF3060" w14:paraId="6DC8EC60" w14:textId="1C9B5874">
      <w:pPr>
        <w:spacing w:before="240" w:beforeAutospacing="off" w:after="240" w:afterAutospacing="off"/>
        <w:jc w:val="both"/>
      </w:pPr>
      <w:r w:rsidRPr="19AF3060" w:rsidR="19AF3060">
        <w:rPr>
          <w:rFonts w:ascii="Times New Roman" w:hAnsi="Times New Roman" w:eastAsia="Times New Roman" w:cs="Times New Roman"/>
          <w:b w:val="1"/>
          <w:bCs w:val="1"/>
          <w:noProof w:val="0"/>
          <w:sz w:val="24"/>
          <w:szCs w:val="24"/>
          <w:lang w:val="en-US"/>
        </w:rPr>
        <w:t>Institutional Autonomy:</w:t>
      </w:r>
    </w:p>
    <w:p w:rsidR="19AF3060" w:rsidP="19AF3060" w:rsidRDefault="19AF3060" w14:paraId="52FA22F8" w14:textId="4B555965">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Closely linked to decentralization is the emphasis on institutional autonomy. NEP 2020 envisions a higher education system where institutions, especially those that </w:t>
      </w:r>
      <w:r w:rsidRPr="19AF3060" w:rsidR="19AF3060">
        <w:rPr>
          <w:rFonts w:ascii="Times New Roman" w:hAnsi="Times New Roman" w:eastAsia="Times New Roman" w:cs="Times New Roman"/>
          <w:noProof w:val="0"/>
          <w:sz w:val="24"/>
          <w:szCs w:val="24"/>
          <w:lang w:val="en-US"/>
        </w:rPr>
        <w:t>demonstrate</w:t>
      </w:r>
      <w:r w:rsidRPr="19AF3060" w:rsidR="19AF3060">
        <w:rPr>
          <w:rFonts w:ascii="Times New Roman" w:hAnsi="Times New Roman" w:eastAsia="Times New Roman" w:cs="Times New Roman"/>
          <w:noProof w:val="0"/>
          <w:sz w:val="24"/>
          <w:szCs w:val="24"/>
          <w:lang w:val="en-US"/>
        </w:rPr>
        <w:t xml:space="preserve"> </w:t>
      </w:r>
      <w:r w:rsidRPr="19AF3060" w:rsidR="19AF3060">
        <w:rPr>
          <w:rFonts w:ascii="Times New Roman" w:hAnsi="Times New Roman" w:eastAsia="Times New Roman" w:cs="Times New Roman"/>
          <w:noProof w:val="0"/>
          <w:sz w:val="24"/>
          <w:szCs w:val="24"/>
          <w:lang w:val="en-US"/>
        </w:rPr>
        <w:t>high standards</w:t>
      </w:r>
      <w:r w:rsidRPr="19AF3060" w:rsidR="19AF3060">
        <w:rPr>
          <w:rFonts w:ascii="Times New Roman" w:hAnsi="Times New Roman" w:eastAsia="Times New Roman" w:cs="Times New Roman"/>
          <w:noProof w:val="0"/>
          <w:sz w:val="24"/>
          <w:szCs w:val="24"/>
          <w:lang w:val="en-US"/>
        </w:rPr>
        <w:t xml:space="preserve"> of performance, are granted greater autonomy in academic, administrative, and financial matters. This includes the freedom to set curricula, </w:t>
      </w:r>
      <w:r w:rsidRPr="19AF3060" w:rsidR="19AF3060">
        <w:rPr>
          <w:rFonts w:ascii="Times New Roman" w:hAnsi="Times New Roman" w:eastAsia="Times New Roman" w:cs="Times New Roman"/>
          <w:noProof w:val="0"/>
          <w:sz w:val="24"/>
          <w:szCs w:val="24"/>
          <w:lang w:val="en-US"/>
        </w:rPr>
        <w:t>determine</w:t>
      </w:r>
      <w:r w:rsidRPr="19AF3060" w:rsidR="19AF3060">
        <w:rPr>
          <w:rFonts w:ascii="Times New Roman" w:hAnsi="Times New Roman" w:eastAsia="Times New Roman" w:cs="Times New Roman"/>
          <w:noProof w:val="0"/>
          <w:sz w:val="24"/>
          <w:szCs w:val="24"/>
          <w:lang w:val="en-US"/>
        </w:rPr>
        <w:t xml:space="preserve"> admission policies, and manage internal affairs without excessive external interference.</w:t>
      </w:r>
    </w:p>
    <w:p w:rsidR="19AF3060" w:rsidP="19AF3060" w:rsidRDefault="19AF3060" w14:paraId="7F5CE310" w14:textId="6A98B36A">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For public institutions, this autonomy is expected to reduce the dependence on government funding and encourage self-sustaining models through partnerships, research grants, and alumni contributions. For private institutions, it provides an opportunity to innovate and experiment with new models of education delivery, provided they adhere to quality standards and maintain transparency.</w:t>
      </w:r>
    </w:p>
    <w:p w:rsidR="19AF3060" w:rsidP="19AF3060" w:rsidRDefault="19AF3060" w14:paraId="407DE98C" w14:textId="5DFB27DB">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However, autonomy comes with the responsibility of maintaining high academic standards and institutional integrity. NEP 2020 emphasizes that autonomy must be accompanied by robust internal governance structures and external accountability mechanisms to prevent misuse and ensure that institutions serve the broader public interest.</w:t>
      </w:r>
    </w:p>
    <w:p w:rsidR="19AF3060" w:rsidP="19AF3060" w:rsidRDefault="19AF3060" w14:paraId="4FB27E20" w14:textId="7058F6C4">
      <w:pPr>
        <w:jc w:val="both"/>
      </w:pPr>
    </w:p>
    <w:p w:rsidR="19AF3060" w:rsidP="19AF3060" w:rsidRDefault="19AF3060" w14:paraId="5520B101" w14:textId="4D82A792">
      <w:pPr>
        <w:spacing w:before="240" w:beforeAutospacing="off" w:after="240" w:afterAutospacing="off"/>
        <w:jc w:val="both"/>
      </w:pPr>
      <w:r w:rsidRPr="19AF3060" w:rsidR="19AF3060">
        <w:rPr>
          <w:rFonts w:ascii="Times New Roman" w:hAnsi="Times New Roman" w:eastAsia="Times New Roman" w:cs="Times New Roman"/>
          <w:b w:val="1"/>
          <w:bCs w:val="1"/>
          <w:noProof w:val="0"/>
          <w:sz w:val="24"/>
          <w:szCs w:val="24"/>
          <w:lang w:val="en-US"/>
        </w:rPr>
        <w:t>Transparency:</w:t>
      </w:r>
    </w:p>
    <w:p w:rsidR="19AF3060" w:rsidP="19AF3060" w:rsidRDefault="19AF3060" w14:paraId="58F06FAB" w14:textId="4635DD6E">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Transparency is a cornerstone of NEP 2020's vision for higher education governance. The policy calls for institutions to adopt clear and open processes in their operations, including admissions, faculty recruitment, and </w:t>
      </w:r>
      <w:r w:rsidRPr="19AF3060" w:rsidR="19AF3060">
        <w:rPr>
          <w:rFonts w:ascii="Times New Roman" w:hAnsi="Times New Roman" w:eastAsia="Times New Roman" w:cs="Times New Roman"/>
          <w:noProof w:val="0"/>
          <w:sz w:val="24"/>
          <w:szCs w:val="24"/>
          <w:lang w:val="en-US"/>
        </w:rPr>
        <w:t>financial management</w:t>
      </w:r>
      <w:r w:rsidRPr="19AF3060" w:rsidR="19AF3060">
        <w:rPr>
          <w:rFonts w:ascii="Times New Roman" w:hAnsi="Times New Roman" w:eastAsia="Times New Roman" w:cs="Times New Roman"/>
          <w:noProof w:val="0"/>
          <w:sz w:val="24"/>
          <w:szCs w:val="24"/>
          <w:lang w:val="en-US"/>
        </w:rPr>
        <w:t xml:space="preserve">. Digital platforms are to be </w:t>
      </w:r>
      <w:r w:rsidRPr="19AF3060" w:rsidR="19AF3060">
        <w:rPr>
          <w:rFonts w:ascii="Times New Roman" w:hAnsi="Times New Roman" w:eastAsia="Times New Roman" w:cs="Times New Roman"/>
          <w:noProof w:val="0"/>
          <w:sz w:val="24"/>
          <w:szCs w:val="24"/>
          <w:lang w:val="en-US"/>
        </w:rPr>
        <w:t>leveraged</w:t>
      </w:r>
      <w:r w:rsidRPr="19AF3060" w:rsidR="19AF3060">
        <w:rPr>
          <w:rFonts w:ascii="Times New Roman" w:hAnsi="Times New Roman" w:eastAsia="Times New Roman" w:cs="Times New Roman"/>
          <w:noProof w:val="0"/>
          <w:sz w:val="24"/>
          <w:szCs w:val="24"/>
          <w:lang w:val="en-US"/>
        </w:rPr>
        <w:t xml:space="preserve"> to enhance transparency, making information about institutional performance, funding </w:t>
      </w:r>
      <w:r w:rsidRPr="19AF3060" w:rsidR="19AF3060">
        <w:rPr>
          <w:rFonts w:ascii="Times New Roman" w:hAnsi="Times New Roman" w:eastAsia="Times New Roman" w:cs="Times New Roman"/>
          <w:noProof w:val="0"/>
          <w:sz w:val="24"/>
          <w:szCs w:val="24"/>
          <w:lang w:val="en-US"/>
        </w:rPr>
        <w:t>utilization</w:t>
      </w:r>
      <w:r w:rsidRPr="19AF3060" w:rsidR="19AF3060">
        <w:rPr>
          <w:rFonts w:ascii="Times New Roman" w:hAnsi="Times New Roman" w:eastAsia="Times New Roman" w:cs="Times New Roman"/>
          <w:noProof w:val="0"/>
          <w:sz w:val="24"/>
          <w:szCs w:val="24"/>
          <w:lang w:val="en-US"/>
        </w:rPr>
        <w:t>, and governance decisions accessible to stakeholders, including students, parents, and the broader public.</w:t>
      </w:r>
    </w:p>
    <w:p w:rsidR="19AF3060" w:rsidP="19AF3060" w:rsidRDefault="19AF3060" w14:paraId="36BF7C0A" w14:textId="61A095C4">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Transparency in governance also extends to academic processes, such as curriculum development and examination systems. NEP 2020 advocates for transparent evaluation methods and timely declaration of results to build trust and confidence in the education system. This transparency is expected to mitigate issues such as favoritism, corruption, and inefficiency, which have long plagued the sector.</w:t>
      </w:r>
    </w:p>
    <w:p w:rsidR="19AF3060" w:rsidP="19AF3060" w:rsidRDefault="19AF3060" w14:paraId="0050B95F" w14:textId="0CC59304">
      <w:pPr>
        <w:spacing w:before="240" w:beforeAutospacing="off" w:after="240" w:afterAutospacing="off"/>
        <w:jc w:val="both"/>
      </w:pPr>
      <w:r w:rsidRPr="19AF3060" w:rsidR="19AF3060">
        <w:rPr>
          <w:rFonts w:ascii="Times New Roman" w:hAnsi="Times New Roman" w:eastAsia="Times New Roman" w:cs="Times New Roman"/>
          <w:b w:val="1"/>
          <w:bCs w:val="1"/>
          <w:noProof w:val="0"/>
          <w:sz w:val="24"/>
          <w:szCs w:val="24"/>
          <w:lang w:val="en-US"/>
        </w:rPr>
        <w:t>Accountability:</w:t>
      </w:r>
    </w:p>
    <w:p w:rsidR="19AF3060" w:rsidP="19AF3060" w:rsidRDefault="19AF3060" w14:paraId="7AD70516" w14:textId="0260DF17">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 With increased autonomy comes a heightened focus on accountability. NEP 2020 proposes the establishment of a National Higher Education Regulatory Council (NHERC) as a single regulatory body to ensure that institutions adhere to quality standards and ethical practices. This body will replace multiple regulatory authorities, streamlining oversight and reducing the regulatory burden on institutions.</w:t>
      </w:r>
    </w:p>
    <w:p w:rsidR="19AF3060" w:rsidP="0C61C7D9" w:rsidRDefault="19AF3060" w14:paraId="25104C0E" w14:textId="6683C2C2">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4431F400">
        <w:rPr>
          <w:rFonts w:ascii="Times New Roman" w:hAnsi="Times New Roman" w:eastAsia="Times New Roman" w:cs="Times New Roman"/>
          <w:noProof w:val="0"/>
          <w:sz w:val="24"/>
          <w:szCs w:val="24"/>
          <w:lang w:val="en-US"/>
        </w:rPr>
        <w:t>Institutions will be required to undergo periodic assessments and accreditations by independent agencies like the National Assessment and Accreditation Council (NAAC). Performance metrics, including teaching quality, research output, and student outcomes, will be closely monitored. Institutions failing to meet these standards could face penalties or lose their accreditation status.</w:t>
      </w:r>
      <w:r w:rsidRPr="0C61C7D9">
        <w:rPr>
          <w:rStyle w:val="FootnoteReference"/>
          <w:rFonts w:ascii="Times New Roman" w:hAnsi="Times New Roman" w:eastAsia="Times New Roman" w:cs="Times New Roman"/>
          <w:noProof w:val="0"/>
          <w:sz w:val="24"/>
          <w:szCs w:val="24"/>
          <w:lang w:val="en-US"/>
        </w:rPr>
        <w:footnoteReference w:id="8628"/>
      </w:r>
    </w:p>
    <w:p w:rsidR="19AF3060" w:rsidP="19AF3060" w:rsidRDefault="19AF3060" w14:paraId="56C1CC70" w14:textId="1CBE5F08">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Accountability mechanisms also extend to governance bodies within institutions. Governing boards and councils are expected to include representatives from various stakeholders, ensuring that decision-making processes reflect diverse perspectives and serve the broader interests of the academic community.</w:t>
      </w:r>
    </w:p>
    <w:p w:rsidR="19AF3060" w:rsidP="19AF3060" w:rsidRDefault="19AF3060" w14:paraId="18A673E0" w14:textId="75FE6A00">
      <w:pPr>
        <w:spacing w:before="240" w:beforeAutospacing="off" w:after="240" w:afterAutospacing="off"/>
        <w:jc w:val="both"/>
      </w:pPr>
      <w:r w:rsidRPr="19AF3060" w:rsidR="19AF3060">
        <w:rPr>
          <w:rFonts w:ascii="Times New Roman" w:hAnsi="Times New Roman" w:eastAsia="Times New Roman" w:cs="Times New Roman"/>
          <w:b w:val="1"/>
          <w:bCs w:val="1"/>
          <w:noProof w:val="0"/>
          <w:sz w:val="24"/>
          <w:szCs w:val="24"/>
          <w:lang w:val="en-US"/>
        </w:rPr>
        <w:t>Academic Freedom:</w:t>
      </w:r>
    </w:p>
    <w:p w:rsidR="19AF3060" w:rsidP="19AF3060" w:rsidRDefault="19AF3060" w14:paraId="7E71A343" w14:textId="6C4A3F50">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NEP 2020 places a strong emphasis on academic freedom, recognizing it as essential for fostering a culture of critical inquiry and innovation. Faculty members are to be given the freedom to pursue research and teaching without undue interference. This is particularly important in a diverse and democratic society like India, where academic freedom can contribute to social progress and the development of </w:t>
      </w:r>
      <w:r w:rsidRPr="19AF3060" w:rsidR="19AF3060">
        <w:rPr>
          <w:rFonts w:ascii="Times New Roman" w:hAnsi="Times New Roman" w:eastAsia="Times New Roman" w:cs="Times New Roman"/>
          <w:noProof w:val="0"/>
          <w:sz w:val="24"/>
          <w:szCs w:val="24"/>
          <w:lang w:val="en-US"/>
        </w:rPr>
        <w:t>new ideas</w:t>
      </w:r>
      <w:r w:rsidRPr="19AF3060" w:rsidR="19AF3060">
        <w:rPr>
          <w:rFonts w:ascii="Times New Roman" w:hAnsi="Times New Roman" w:eastAsia="Times New Roman" w:cs="Times New Roman"/>
          <w:noProof w:val="0"/>
          <w:sz w:val="24"/>
          <w:szCs w:val="24"/>
          <w:lang w:val="en-US"/>
        </w:rPr>
        <w:t>.</w:t>
      </w:r>
    </w:p>
    <w:p w:rsidR="19AF3060" w:rsidP="19AF3060" w:rsidRDefault="19AF3060" w14:paraId="0170ABEC" w14:textId="01ECED55">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The policy also encourages institutions to create an environment where students and faculty feel free to express their views and engage in debates on various issues. This is expected to enhance the quality of education and promote a culture of intellectual rigor and open dialogue.</w:t>
      </w:r>
    </w:p>
    <w:p w:rsidR="19AF3060" w:rsidP="19AF3060" w:rsidRDefault="19AF3060" w14:paraId="6B3CB8D4" w14:textId="53B1E273">
      <w:pPr>
        <w:jc w:val="both"/>
      </w:pPr>
    </w:p>
    <w:p w:rsidR="5811D63D" w:rsidP="5811D63D" w:rsidRDefault="5811D63D" w14:paraId="3DFA47FD" w14:textId="1AF25C2A">
      <w:pPr>
        <w:spacing w:before="240" w:beforeAutospacing="off" w:after="240" w:afterAutospacing="off"/>
        <w:jc w:val="both"/>
        <w:rPr>
          <w:rFonts w:ascii="Times New Roman" w:hAnsi="Times New Roman" w:eastAsia="Times New Roman" w:cs="Times New Roman"/>
          <w:b w:val="1"/>
          <w:bCs w:val="1"/>
          <w:noProof w:val="0"/>
          <w:sz w:val="24"/>
          <w:szCs w:val="24"/>
          <w:lang w:val="en-US"/>
        </w:rPr>
      </w:pPr>
    </w:p>
    <w:p w:rsidR="5811D63D" w:rsidP="5811D63D" w:rsidRDefault="5811D63D" w14:paraId="799A8C0E" w14:textId="4A4649DA">
      <w:pPr>
        <w:spacing w:before="240" w:beforeAutospacing="off" w:after="240" w:afterAutospacing="off"/>
        <w:jc w:val="both"/>
        <w:rPr>
          <w:rFonts w:ascii="Times New Roman" w:hAnsi="Times New Roman" w:eastAsia="Times New Roman" w:cs="Times New Roman"/>
          <w:b w:val="1"/>
          <w:bCs w:val="1"/>
          <w:noProof w:val="0"/>
          <w:sz w:val="24"/>
          <w:szCs w:val="24"/>
          <w:lang w:val="en-US"/>
        </w:rPr>
      </w:pPr>
    </w:p>
    <w:p w:rsidR="19AF3060" w:rsidP="5811D63D" w:rsidRDefault="19AF3060" w14:paraId="4FAD666E" w14:textId="787477FB">
      <w:p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5811D63D" w:rsidR="5811D63D">
        <w:rPr>
          <w:rFonts w:ascii="Times New Roman" w:hAnsi="Times New Roman" w:eastAsia="Times New Roman" w:cs="Times New Roman"/>
          <w:b w:val="1"/>
          <w:bCs w:val="1"/>
          <w:noProof w:val="0"/>
          <w:sz w:val="24"/>
          <w:szCs w:val="24"/>
          <w:lang w:val="en-US"/>
        </w:rPr>
        <w:t xml:space="preserve">Challenges in </w:t>
      </w:r>
      <w:r w:rsidRPr="5811D63D" w:rsidR="5811D63D">
        <w:rPr>
          <w:rFonts w:ascii="Times New Roman" w:hAnsi="Times New Roman" w:eastAsia="Times New Roman" w:cs="Times New Roman"/>
          <w:b w:val="1"/>
          <w:bCs w:val="1"/>
          <w:noProof w:val="0"/>
          <w:sz w:val="24"/>
          <w:szCs w:val="24"/>
          <w:lang w:val="en-US"/>
        </w:rPr>
        <w:t>implementation</w:t>
      </w:r>
    </w:p>
    <w:p w:rsidR="19AF3060" w:rsidP="19AF3060" w:rsidRDefault="19AF3060" w14:paraId="6C2DC2DB" w14:textId="45807E5C">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19AF3060" w:rsidR="19AF3060">
        <w:rPr>
          <w:rFonts w:ascii="Times New Roman" w:hAnsi="Times New Roman" w:eastAsia="Times New Roman" w:cs="Times New Roman"/>
          <w:b w:val="1"/>
          <w:bCs w:val="1"/>
          <w:noProof w:val="0"/>
          <w:sz w:val="24"/>
          <w:szCs w:val="24"/>
          <w:lang w:val="en-US"/>
        </w:rPr>
        <w:t>Resistance to Change:</w:t>
      </w:r>
    </w:p>
    <w:p w:rsidR="19AF3060" w:rsidP="19AF3060" w:rsidRDefault="19AF3060" w14:paraId="342B246B" w14:textId="45A620A6">
      <w:pPr>
        <w:pStyle w:val="Normal"/>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noProof w:val="0"/>
          <w:sz w:val="24"/>
          <w:szCs w:val="24"/>
          <w:lang w:val="en-US"/>
        </w:rPr>
        <w:t>1. Implementing NEP 2020's reforms requires a significant shift in mindset and culture. Many institutions, particularly those accustomed to centralized control, may resist the changes due to fear of losing power or facing increased accountability.</w:t>
      </w:r>
    </w:p>
    <w:p w:rsidR="19AF3060" w:rsidP="19AF3060" w:rsidRDefault="19AF3060" w14:paraId="2A029EE5" w14:textId="3529766B">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p>
    <w:p w:rsidR="19AF3060" w:rsidP="19AF3060" w:rsidRDefault="19AF3060" w14:paraId="040FC346" w14:textId="66836A83">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2. Funding Constraints:</w:t>
      </w:r>
    </w:p>
    <w:p w:rsidR="19AF3060" w:rsidP="19AF3060" w:rsidRDefault="19AF3060" w14:paraId="1DB2F7C3" w14:textId="3650E317">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While autonomy is expected to reduce dependence on government funding, many public institutions lack the infrastructure and resources to become self-sufficient. Bridging this gap will require substantial investment and innovative funding models.</w:t>
      </w:r>
    </w:p>
    <w:p w:rsidR="19AF3060" w:rsidP="19AF3060" w:rsidRDefault="19AF3060" w14:paraId="6DDEC0DB" w14:textId="0C22B93F">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3. Capacity Building:</w:t>
      </w:r>
    </w:p>
    <w:p w:rsidR="19AF3060" w:rsidP="19AF3060" w:rsidRDefault="19AF3060" w14:paraId="02F4637C" w14:textId="35E9DA84">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Decentralization and autonomy </w:t>
      </w:r>
      <w:r w:rsidRPr="19AF3060" w:rsidR="19AF3060">
        <w:rPr>
          <w:rFonts w:ascii="Times New Roman" w:hAnsi="Times New Roman" w:eastAsia="Times New Roman" w:cs="Times New Roman"/>
          <w:noProof w:val="0"/>
          <w:sz w:val="24"/>
          <w:szCs w:val="24"/>
          <w:lang w:val="en-US"/>
        </w:rPr>
        <w:t>necessitate</w:t>
      </w:r>
      <w:r w:rsidRPr="19AF3060" w:rsidR="19AF3060">
        <w:rPr>
          <w:rFonts w:ascii="Times New Roman" w:hAnsi="Times New Roman" w:eastAsia="Times New Roman" w:cs="Times New Roman"/>
          <w:noProof w:val="0"/>
          <w:sz w:val="24"/>
          <w:szCs w:val="24"/>
          <w:lang w:val="en-US"/>
        </w:rPr>
        <w:t xml:space="preserve"> strong internal governance structures and skilled administrators. Training and capacity-building programs will be essential to equip institutional leaders and faculty with the skills needed to navigate this new landscape.</w:t>
      </w:r>
    </w:p>
    <w:p w:rsidR="19AF3060" w:rsidP="19AF3060" w:rsidRDefault="19AF3060" w14:paraId="519203D6" w14:textId="428A6BE0">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4. Ensuring Equity:</w:t>
      </w:r>
    </w:p>
    <w:p w:rsidR="19AF3060" w:rsidP="19AF3060" w:rsidRDefault="19AF3060" w14:paraId="07E61FA3" w14:textId="266F3201">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There is a risk that increased autonomy could </w:t>
      </w:r>
      <w:r w:rsidRPr="19AF3060" w:rsidR="19AF3060">
        <w:rPr>
          <w:rFonts w:ascii="Times New Roman" w:hAnsi="Times New Roman" w:eastAsia="Times New Roman" w:cs="Times New Roman"/>
          <w:noProof w:val="0"/>
          <w:sz w:val="24"/>
          <w:szCs w:val="24"/>
          <w:lang w:val="en-US"/>
        </w:rPr>
        <w:t>exacerbate</w:t>
      </w:r>
      <w:r w:rsidRPr="19AF3060" w:rsidR="19AF3060">
        <w:rPr>
          <w:rFonts w:ascii="Times New Roman" w:hAnsi="Times New Roman" w:eastAsia="Times New Roman" w:cs="Times New Roman"/>
          <w:noProof w:val="0"/>
          <w:sz w:val="24"/>
          <w:szCs w:val="24"/>
          <w:lang w:val="en-US"/>
        </w:rPr>
        <w:t xml:space="preserve"> inequalities between well-funded central institutions and under-resourced state or private colleges. Safeguarding equity and inclusivity will be crucial to ensure that all students </w:t>
      </w:r>
      <w:r w:rsidRPr="19AF3060" w:rsidR="19AF3060">
        <w:rPr>
          <w:rFonts w:ascii="Times New Roman" w:hAnsi="Times New Roman" w:eastAsia="Times New Roman" w:cs="Times New Roman"/>
          <w:noProof w:val="0"/>
          <w:sz w:val="24"/>
          <w:szCs w:val="24"/>
          <w:lang w:val="en-US"/>
        </w:rPr>
        <w:t>benefit</w:t>
      </w:r>
      <w:r w:rsidRPr="19AF3060" w:rsidR="19AF3060">
        <w:rPr>
          <w:rFonts w:ascii="Times New Roman" w:hAnsi="Times New Roman" w:eastAsia="Times New Roman" w:cs="Times New Roman"/>
          <w:noProof w:val="0"/>
          <w:sz w:val="24"/>
          <w:szCs w:val="24"/>
          <w:lang w:val="en-US"/>
        </w:rPr>
        <w:t xml:space="preserve"> from these reforms.</w:t>
      </w:r>
    </w:p>
    <w:p w:rsidR="19AF3060" w:rsidP="19AF3060" w:rsidRDefault="19AF3060" w14:paraId="76A03DAF" w14:textId="46721F1D">
      <w:pPr>
        <w:spacing w:before="240" w:beforeAutospacing="off" w:after="240" w:afterAutospacing="off"/>
        <w:jc w:val="both"/>
      </w:pPr>
      <w:r w:rsidRPr="19AF3060" w:rsidR="19AF3060">
        <w:rPr>
          <w:rFonts w:ascii="Times New Roman" w:hAnsi="Times New Roman" w:eastAsia="Times New Roman" w:cs="Times New Roman"/>
          <w:b w:val="1"/>
          <w:bCs w:val="1"/>
          <w:noProof w:val="0"/>
          <w:sz w:val="24"/>
          <w:szCs w:val="24"/>
          <w:lang w:val="en-US"/>
        </w:rPr>
        <w:t>Opportunities:</w:t>
      </w:r>
    </w:p>
    <w:p w:rsidR="19AF3060" w:rsidP="19AF3060" w:rsidRDefault="19AF3060" w14:paraId="799C4CF9" w14:textId="36FA2D3B">
      <w:pPr>
        <w:pStyle w:val="Normal"/>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1.  Innovation and Excellence:</w:t>
      </w:r>
    </w:p>
    <w:p w:rsidR="19AF3060" w:rsidP="19AF3060" w:rsidRDefault="19AF3060" w14:paraId="559DA3ED" w14:textId="33D8DE03">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Increased autonomy and academic freedom create opportunities for institutions to innovate in teaching, research, and community engagement. This could lead to the development of world-class institutions and a more dynamic higher education sector.</w:t>
      </w:r>
    </w:p>
    <w:p w:rsidR="19AF3060" w:rsidP="19AF3060" w:rsidRDefault="19AF3060" w14:paraId="3AD22D01" w14:textId="1908DB10">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2.  Global Competitiveness:</w:t>
      </w:r>
    </w:p>
    <w:p w:rsidR="19AF3060" w:rsidP="19AF3060" w:rsidRDefault="19AF3060" w14:paraId="10261C82" w14:textId="268E2894">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By aligning governance practices with international standards, NEP 2020 enhances India's potential to attract foreign students and faculty, fostering global partnerships and collaborations.</w:t>
      </w:r>
    </w:p>
    <w:p w:rsidR="19AF3060" w:rsidP="19AF3060" w:rsidRDefault="19AF3060" w14:paraId="2290F736" w14:textId="4826A638">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3.  Technology Integration:</w:t>
      </w:r>
    </w:p>
    <w:p w:rsidR="19AF3060" w:rsidP="19AF3060" w:rsidRDefault="19AF3060" w14:paraId="772B311F" w14:textId="6AD44AFD">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The emphasis on transparency and accountability, supported by digital platforms, offers opportunities to </w:t>
      </w:r>
      <w:r w:rsidRPr="19AF3060" w:rsidR="19AF3060">
        <w:rPr>
          <w:rFonts w:ascii="Times New Roman" w:hAnsi="Times New Roman" w:eastAsia="Times New Roman" w:cs="Times New Roman"/>
          <w:noProof w:val="0"/>
          <w:sz w:val="24"/>
          <w:szCs w:val="24"/>
          <w:lang w:val="en-US"/>
        </w:rPr>
        <w:t>leverage</w:t>
      </w:r>
      <w:r w:rsidRPr="19AF3060" w:rsidR="19AF3060">
        <w:rPr>
          <w:rFonts w:ascii="Times New Roman" w:hAnsi="Times New Roman" w:eastAsia="Times New Roman" w:cs="Times New Roman"/>
          <w:noProof w:val="0"/>
          <w:sz w:val="24"/>
          <w:szCs w:val="24"/>
          <w:lang w:val="en-US"/>
        </w:rPr>
        <w:t xml:space="preserve"> technology for better governance. This includes online reporting systems, digital audits, and data-driven decision-making.</w:t>
      </w:r>
    </w:p>
    <w:p w:rsidR="19AF3060" w:rsidP="19AF3060" w:rsidRDefault="19AF3060" w14:paraId="4C3CBC34" w14:textId="5FA0E1CA">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4</w:t>
      </w:r>
      <w:r w:rsidRPr="19AF3060" w:rsidR="19AF3060">
        <w:rPr>
          <w:rFonts w:ascii="Times New Roman" w:hAnsi="Times New Roman" w:eastAsia="Times New Roman" w:cs="Times New Roman"/>
          <w:b w:val="0"/>
          <w:bCs w:val="0"/>
          <w:noProof w:val="0"/>
          <w:sz w:val="24"/>
          <w:szCs w:val="24"/>
          <w:lang w:val="en-US"/>
        </w:rPr>
        <w:t>.  Strengthening</w:t>
      </w:r>
      <w:r w:rsidRPr="19AF3060" w:rsidR="19AF3060">
        <w:rPr>
          <w:rFonts w:ascii="Times New Roman" w:hAnsi="Times New Roman" w:eastAsia="Times New Roman" w:cs="Times New Roman"/>
          <w:b w:val="0"/>
          <w:bCs w:val="0"/>
          <w:noProof w:val="0"/>
          <w:sz w:val="24"/>
          <w:szCs w:val="24"/>
          <w:lang w:val="en-US"/>
        </w:rPr>
        <w:t xml:space="preserve"> Democracy:</w:t>
      </w:r>
    </w:p>
    <w:p w:rsidR="19AF3060" w:rsidP="19AF3060" w:rsidRDefault="19AF3060" w14:paraId="0025D66D" w14:textId="1A31E7E4">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A transparent, accountable, and autonomous higher education system contributes to the broader democratic fabric of the country. It nurtures informed citizens capable of critical thinking and active participation in society.</w:t>
      </w:r>
    </w:p>
    <w:p w:rsidR="19AF3060" w:rsidP="19AF3060" w:rsidRDefault="19AF3060" w14:paraId="46B733AB" w14:textId="7FD07E49">
      <w:pPr>
        <w:spacing w:before="240" w:beforeAutospacing="off" w:after="240" w:afterAutospacing="off"/>
        <w:jc w:val="both"/>
      </w:pPr>
      <w:r w:rsidRPr="0C61C7D9" w:rsidR="4431F400">
        <w:rPr>
          <w:rFonts w:ascii="Times New Roman" w:hAnsi="Times New Roman" w:eastAsia="Times New Roman" w:cs="Times New Roman"/>
          <w:noProof w:val="0"/>
          <w:sz w:val="24"/>
          <w:szCs w:val="24"/>
          <w:lang w:val="en-US"/>
        </w:rPr>
        <w:t>The National Education Policy 2020 marks a paradigm shift in the governance of higher education in India, emphasizing decentralization, institutional autonomy, transparency, accountability, and academic freedom. While the path to implementation is fraught with challenges, the potential benefits are immense.</w:t>
      </w:r>
      <w:r w:rsidRPr="0C61C7D9">
        <w:rPr>
          <w:rStyle w:val="FootnoteReference"/>
          <w:rFonts w:ascii="Times New Roman" w:hAnsi="Times New Roman" w:eastAsia="Times New Roman" w:cs="Times New Roman"/>
          <w:noProof w:val="0"/>
          <w:sz w:val="24"/>
          <w:szCs w:val="24"/>
          <w:lang w:val="en-US"/>
        </w:rPr>
        <w:footnoteReference w:id="4317"/>
      </w:r>
      <w:r w:rsidRPr="0C61C7D9" w:rsidR="4431F400">
        <w:rPr>
          <w:rFonts w:ascii="Times New Roman" w:hAnsi="Times New Roman" w:eastAsia="Times New Roman" w:cs="Times New Roman"/>
          <w:noProof w:val="0"/>
          <w:sz w:val="24"/>
          <w:szCs w:val="24"/>
          <w:lang w:val="en-US"/>
        </w:rPr>
        <w:t xml:space="preserve"> By addressing these challenges thoughtfully and leveraging the opportunities presented, India can build a higher education system that not only meets global standards but also serves as a catalyst for national development and social progress.</w:t>
      </w:r>
    </w:p>
    <w:p w:rsidR="19AF3060" w:rsidP="19AF3060" w:rsidRDefault="19AF3060" w14:paraId="099540AE" w14:textId="203AE08A">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p>
    <w:p w:rsidR="0C61C7D9" w:rsidP="0C61C7D9" w:rsidRDefault="0C61C7D9" w14:paraId="78EEE928" w14:textId="3CE4248B">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p>
    <w:p w:rsidR="0C61C7D9" w:rsidP="0C61C7D9" w:rsidRDefault="0C61C7D9" w14:paraId="41A0FCD8" w14:textId="2AC4D7E6">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p>
    <w:p w:rsidR="19AF3060" w:rsidP="0C61C7D9" w:rsidRDefault="19AF3060" w14:paraId="329D1323" w14:textId="6EDA35F1">
      <w:pPr>
        <w:pStyle w:val="Normal"/>
        <w:spacing w:before="240" w:beforeAutospacing="off" w:after="240" w:afterAutospacing="off"/>
        <w:ind w:left="0"/>
        <w:jc w:val="both"/>
        <w:rPr>
          <w:rFonts w:ascii="Times New Roman" w:hAnsi="Times New Roman" w:eastAsia="Times New Roman" w:cs="Times New Roman"/>
          <w:b w:val="0"/>
          <w:bCs w:val="0"/>
          <w:noProof w:val="0"/>
          <w:sz w:val="24"/>
          <w:szCs w:val="24"/>
          <w:lang w:val="en-US"/>
        </w:rPr>
      </w:pPr>
      <w:r w:rsidRPr="0C61C7D9" w:rsidR="4431F400">
        <w:rPr>
          <w:rFonts w:ascii="Times New Roman" w:hAnsi="Times New Roman" w:eastAsia="Times New Roman" w:cs="Times New Roman"/>
          <w:b w:val="0"/>
          <w:bCs w:val="0"/>
          <w:noProof w:val="0"/>
          <w:sz w:val="24"/>
          <w:szCs w:val="24"/>
          <w:lang w:val="en-US"/>
        </w:rPr>
        <w:t>Future of Governance in Indian HEIs</w:t>
      </w:r>
    </w:p>
    <w:p w:rsidR="19AF3060" w:rsidP="19AF3060" w:rsidRDefault="19AF3060" w14:paraId="6AC26322" w14:textId="22BA77FE">
      <w:pPr>
        <w:spacing w:before="240" w:beforeAutospacing="off" w:after="240" w:afterAutospacing="off"/>
        <w:jc w:val="both"/>
      </w:pPr>
      <w:r w:rsidRPr="0C61C7D9" w:rsidR="4431F400">
        <w:rPr>
          <w:rFonts w:ascii="Times New Roman" w:hAnsi="Times New Roman" w:eastAsia="Times New Roman" w:cs="Times New Roman"/>
          <w:noProof w:val="0"/>
          <w:sz w:val="24"/>
          <w:szCs w:val="24"/>
          <w:lang w:val="en-US"/>
        </w:rPr>
        <w:t>As India’s higher education sector stands on the brink of transformation, effective governance will be central to realizing its potential. The future of governance in Indian Higher Education Institutions (HEIs) will likely be shaped by a series of structural reforms, technological advancements, and global collaborations.</w:t>
      </w:r>
      <w:r w:rsidRPr="0C61C7D9">
        <w:rPr>
          <w:rStyle w:val="FootnoteReference"/>
          <w:rFonts w:ascii="Times New Roman" w:hAnsi="Times New Roman" w:eastAsia="Times New Roman" w:cs="Times New Roman"/>
          <w:noProof w:val="0"/>
          <w:sz w:val="24"/>
          <w:szCs w:val="24"/>
          <w:lang w:val="en-US"/>
        </w:rPr>
        <w:footnoteReference w:id="29175"/>
      </w:r>
      <w:r w:rsidRPr="0C61C7D9" w:rsidR="4431F400">
        <w:rPr>
          <w:rFonts w:ascii="Times New Roman" w:hAnsi="Times New Roman" w:eastAsia="Times New Roman" w:cs="Times New Roman"/>
          <w:noProof w:val="0"/>
          <w:sz w:val="24"/>
          <w:szCs w:val="24"/>
          <w:lang w:val="en-US"/>
        </w:rPr>
        <w:t xml:space="preserve"> These elements promise to create a system that is transparent, accountable, innovative, and globally competitive.</w:t>
      </w:r>
    </w:p>
    <w:p w:rsidR="19AF3060" w:rsidP="19AF3060" w:rsidRDefault="19AF3060" w14:paraId="73FF99A1" w14:textId="286A9FB1">
      <w:pPr>
        <w:jc w:val="both"/>
      </w:pPr>
    </w:p>
    <w:p w:rsidR="19AF3060" w:rsidP="19AF3060" w:rsidRDefault="19AF3060" w14:paraId="585BA65A" w14:textId="03AE8BF9">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19AF3060" w:rsidR="19AF3060">
        <w:rPr>
          <w:rFonts w:ascii="Times New Roman" w:hAnsi="Times New Roman" w:eastAsia="Times New Roman" w:cs="Times New Roman"/>
          <w:b w:val="0"/>
          <w:bCs w:val="0"/>
          <w:noProof w:val="0"/>
          <w:color w:val="auto"/>
          <w:sz w:val="24"/>
          <w:szCs w:val="24"/>
          <w:lang w:val="en-US"/>
        </w:rPr>
        <w:t>Potential Reforms and Best Practices</w:t>
      </w:r>
    </w:p>
    <w:p w:rsidR="19AF3060" w:rsidP="19AF3060" w:rsidRDefault="19AF3060" w14:paraId="287FF8AD" w14:textId="76582662">
      <w:pPr>
        <w:spacing w:before="240" w:beforeAutospacing="off" w:after="240" w:afterAutospacing="off"/>
        <w:jc w:val="both"/>
        <w:rPr>
          <w:rFonts w:ascii="Times New Roman" w:hAnsi="Times New Roman" w:eastAsia="Times New Roman" w:cs="Times New Roman"/>
          <w:b w:val="0"/>
          <w:bCs w:val="0"/>
          <w:noProof w:val="0"/>
          <w:color w:val="auto"/>
          <w:sz w:val="24"/>
          <w:szCs w:val="24"/>
          <w:lang w:val="en-US"/>
        </w:rPr>
      </w:pPr>
      <w:r w:rsidRPr="19AF3060" w:rsidR="19AF3060">
        <w:rPr>
          <w:rFonts w:ascii="Times New Roman" w:hAnsi="Times New Roman" w:eastAsia="Times New Roman" w:cs="Times New Roman"/>
          <w:b w:val="0"/>
          <w:bCs w:val="0"/>
          <w:noProof w:val="0"/>
          <w:color w:val="auto"/>
          <w:sz w:val="24"/>
          <w:szCs w:val="24"/>
          <w:lang w:val="en-US"/>
        </w:rPr>
        <w:t>1. Regulatory Simplification and Unification:</w:t>
      </w:r>
    </w:p>
    <w:p w:rsidR="19AF3060" w:rsidP="19AF3060" w:rsidRDefault="19AF3060" w14:paraId="28CD4E3A" w14:textId="3B7C5105">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One of the key reforms </w:t>
      </w:r>
      <w:r w:rsidRPr="19AF3060" w:rsidR="19AF3060">
        <w:rPr>
          <w:rFonts w:ascii="Times New Roman" w:hAnsi="Times New Roman" w:eastAsia="Times New Roman" w:cs="Times New Roman"/>
          <w:noProof w:val="0"/>
          <w:sz w:val="24"/>
          <w:szCs w:val="24"/>
          <w:lang w:val="en-US"/>
        </w:rPr>
        <w:t>anticipated</w:t>
      </w:r>
      <w:r w:rsidRPr="19AF3060" w:rsidR="19AF3060">
        <w:rPr>
          <w:rFonts w:ascii="Times New Roman" w:hAnsi="Times New Roman" w:eastAsia="Times New Roman" w:cs="Times New Roman"/>
          <w:noProof w:val="0"/>
          <w:sz w:val="24"/>
          <w:szCs w:val="24"/>
          <w:lang w:val="en-US"/>
        </w:rPr>
        <w:t xml:space="preserve"> in the future is the simplification of regulatory frameworks. The National Education Policy (NEP) 2020 already envisions a unified regulatory body, the National Higher Education Regulatory Council (NHERC), to replace multiple agencies like UGC and AICTE. This reform aims to streamline governance processes, reduce bureaucratic delays, and create a more coherent and transparent system.</w:t>
      </w:r>
    </w:p>
    <w:p w:rsidR="19AF3060" w:rsidP="19AF3060" w:rsidRDefault="19AF3060" w14:paraId="195D6184" w14:textId="14C065D3">
      <w:pPr>
        <w:spacing w:before="240" w:beforeAutospacing="off" w:after="240" w:afterAutospacing="off"/>
        <w:jc w:val="both"/>
        <w:rPr>
          <w:rFonts w:ascii="Times New Roman" w:hAnsi="Times New Roman" w:eastAsia="Times New Roman" w:cs="Times New Roman"/>
          <w:b w:val="0"/>
          <w:bCs w:val="0"/>
          <w:noProof w:val="0"/>
          <w:color w:val="auto"/>
          <w:sz w:val="24"/>
          <w:szCs w:val="24"/>
          <w:lang w:val="en-US"/>
        </w:rPr>
      </w:pPr>
      <w:r w:rsidRPr="19AF3060" w:rsidR="19AF3060">
        <w:rPr>
          <w:rFonts w:ascii="Times New Roman" w:hAnsi="Times New Roman" w:eastAsia="Times New Roman" w:cs="Times New Roman"/>
          <w:b w:val="0"/>
          <w:bCs w:val="0"/>
          <w:noProof w:val="0"/>
          <w:color w:val="auto"/>
          <w:sz w:val="24"/>
          <w:szCs w:val="24"/>
          <w:lang w:val="en-US"/>
        </w:rPr>
        <w:t>2. Enhanced Autonomy with Accountability:</w:t>
      </w:r>
    </w:p>
    <w:p w:rsidR="19AF3060" w:rsidP="19AF3060" w:rsidRDefault="19AF3060" w14:paraId="497FEBF0" w14:textId="033CED41">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Future governance models will </w:t>
      </w:r>
      <w:r w:rsidRPr="19AF3060" w:rsidR="19AF3060">
        <w:rPr>
          <w:rFonts w:ascii="Times New Roman" w:hAnsi="Times New Roman" w:eastAsia="Times New Roman" w:cs="Times New Roman"/>
          <w:noProof w:val="0"/>
          <w:sz w:val="24"/>
          <w:szCs w:val="24"/>
          <w:lang w:val="en-US"/>
        </w:rPr>
        <w:t>likely emphasize</w:t>
      </w:r>
      <w:r w:rsidRPr="19AF3060" w:rsidR="19AF3060">
        <w:rPr>
          <w:rFonts w:ascii="Times New Roman" w:hAnsi="Times New Roman" w:eastAsia="Times New Roman" w:cs="Times New Roman"/>
          <w:noProof w:val="0"/>
          <w:sz w:val="24"/>
          <w:szCs w:val="24"/>
          <w:lang w:val="en-US"/>
        </w:rPr>
        <w:t xml:space="preserve"> granting greater autonomy to HEIs while ensuring robust accountability mechanisms. Institutions </w:t>
      </w:r>
      <w:r w:rsidRPr="19AF3060" w:rsidR="19AF3060">
        <w:rPr>
          <w:rFonts w:ascii="Times New Roman" w:hAnsi="Times New Roman" w:eastAsia="Times New Roman" w:cs="Times New Roman"/>
          <w:noProof w:val="0"/>
          <w:sz w:val="24"/>
          <w:szCs w:val="24"/>
          <w:lang w:val="en-US"/>
        </w:rPr>
        <w:t>demonstrating</w:t>
      </w:r>
      <w:r w:rsidRPr="19AF3060" w:rsidR="19AF3060">
        <w:rPr>
          <w:rFonts w:ascii="Times New Roman" w:hAnsi="Times New Roman" w:eastAsia="Times New Roman" w:cs="Times New Roman"/>
          <w:noProof w:val="0"/>
          <w:sz w:val="24"/>
          <w:szCs w:val="24"/>
          <w:lang w:val="en-US"/>
        </w:rPr>
        <w:t xml:space="preserve"> </w:t>
      </w:r>
      <w:r w:rsidRPr="19AF3060" w:rsidR="19AF3060">
        <w:rPr>
          <w:rFonts w:ascii="Times New Roman" w:hAnsi="Times New Roman" w:eastAsia="Times New Roman" w:cs="Times New Roman"/>
          <w:noProof w:val="0"/>
          <w:sz w:val="24"/>
          <w:szCs w:val="24"/>
          <w:lang w:val="en-US"/>
        </w:rPr>
        <w:t>strong performance</w:t>
      </w:r>
      <w:r w:rsidRPr="19AF3060" w:rsidR="19AF3060">
        <w:rPr>
          <w:rFonts w:ascii="Times New Roman" w:hAnsi="Times New Roman" w:eastAsia="Times New Roman" w:cs="Times New Roman"/>
          <w:noProof w:val="0"/>
          <w:sz w:val="24"/>
          <w:szCs w:val="24"/>
          <w:lang w:val="en-US"/>
        </w:rPr>
        <w:t xml:space="preserve"> may gain more freedom in curriculum design, faculty recruitment, and resource management. To balance this autonomy, independent bodies will conduct regular audits and assessments, ensuring institutions </w:t>
      </w:r>
      <w:r w:rsidRPr="19AF3060" w:rsidR="19AF3060">
        <w:rPr>
          <w:rFonts w:ascii="Times New Roman" w:hAnsi="Times New Roman" w:eastAsia="Times New Roman" w:cs="Times New Roman"/>
          <w:noProof w:val="0"/>
          <w:sz w:val="24"/>
          <w:szCs w:val="24"/>
          <w:lang w:val="en-US"/>
        </w:rPr>
        <w:t>maintain</w:t>
      </w:r>
      <w:r w:rsidRPr="19AF3060" w:rsidR="19AF3060">
        <w:rPr>
          <w:rFonts w:ascii="Times New Roman" w:hAnsi="Times New Roman" w:eastAsia="Times New Roman" w:cs="Times New Roman"/>
          <w:noProof w:val="0"/>
          <w:sz w:val="24"/>
          <w:szCs w:val="24"/>
          <w:lang w:val="en-US"/>
        </w:rPr>
        <w:t xml:space="preserve"> </w:t>
      </w:r>
      <w:r w:rsidRPr="19AF3060" w:rsidR="19AF3060">
        <w:rPr>
          <w:rFonts w:ascii="Times New Roman" w:hAnsi="Times New Roman" w:eastAsia="Times New Roman" w:cs="Times New Roman"/>
          <w:noProof w:val="0"/>
          <w:sz w:val="24"/>
          <w:szCs w:val="24"/>
          <w:lang w:val="en-US"/>
        </w:rPr>
        <w:t>high standards</w:t>
      </w:r>
      <w:r w:rsidRPr="19AF3060" w:rsidR="19AF3060">
        <w:rPr>
          <w:rFonts w:ascii="Times New Roman" w:hAnsi="Times New Roman" w:eastAsia="Times New Roman" w:cs="Times New Roman"/>
          <w:noProof w:val="0"/>
          <w:sz w:val="24"/>
          <w:szCs w:val="24"/>
          <w:lang w:val="en-US"/>
        </w:rPr>
        <w:t>. Best practices from globally renowned universities, such as peer reviews and self-regulatory frameworks, could be adapted to the Indian context.</w:t>
      </w:r>
    </w:p>
    <w:p w:rsidR="19AF3060" w:rsidP="19AF3060" w:rsidRDefault="19AF3060" w14:paraId="20844386" w14:textId="77790129">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3. Decentralized Decision-Making:</w:t>
      </w:r>
    </w:p>
    <w:p w:rsidR="19AF3060" w:rsidP="19AF3060" w:rsidRDefault="19AF3060" w14:paraId="086852C7" w14:textId="39B4D215">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Decentralization will play a crucial role in future governance. Empowering academic departments and research centers with decision-making authority can foster innovation and responsiveness. For example, institutions could adopt governance models where key decisions are made at departmental levels, reducing reliance on top-down directives. This approach encourages ownership and accountability among faculty and staff.</w:t>
      </w:r>
    </w:p>
    <w:p w:rsidR="19AF3060" w:rsidP="19AF3060" w:rsidRDefault="19AF3060" w14:paraId="6F9D4E0B" w14:textId="21B6769B">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4. Inclusive and Participatory Governance:</w:t>
      </w:r>
    </w:p>
    <w:p w:rsidR="19AF3060" w:rsidP="19AF3060" w:rsidRDefault="19AF3060" w14:paraId="1B0912E3" w14:textId="47D93989">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The future of governance in Indian HEIs will need to focus on inclusivity. This means involving a broader range of stakeholders, including students, alumni, industry representatives, and community members, in decision-making processes. Participatory governance models can ensure that institutional policies reflect diverse perspectives and address real-world needs.</w:t>
      </w:r>
    </w:p>
    <w:p w:rsidR="19AF3060" w:rsidP="19AF3060" w:rsidRDefault="19AF3060" w14:paraId="01FED35A" w14:textId="01F102AF">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5. Focus on Outcome-Based Education:</w:t>
      </w:r>
    </w:p>
    <w:p w:rsidR="19AF3060" w:rsidP="19AF3060" w:rsidRDefault="19AF3060" w14:paraId="24FB3ADE" w14:textId="7F2B2AA5">
      <w:pPr>
        <w:spacing w:before="240" w:beforeAutospacing="off" w:after="240" w:afterAutospacing="off"/>
        <w:jc w:val="both"/>
        <w:rPr>
          <w:rFonts w:ascii="Times New Roman" w:hAnsi="Times New Roman" w:eastAsia="Times New Roman" w:cs="Times New Roman"/>
          <w:noProof w:val="0"/>
          <w:sz w:val="24"/>
          <w:szCs w:val="24"/>
          <w:lang w:val="en-US"/>
        </w:rPr>
      </w:pPr>
      <w:r w:rsidRPr="19AF3060" w:rsidR="19AF3060">
        <w:rPr>
          <w:rFonts w:ascii="Times New Roman" w:hAnsi="Times New Roman" w:eastAsia="Times New Roman" w:cs="Times New Roman"/>
          <w:noProof w:val="0"/>
          <w:sz w:val="24"/>
          <w:szCs w:val="24"/>
          <w:lang w:val="en-US"/>
        </w:rPr>
        <w:t>Governance reforms will</w:t>
      </w:r>
      <w:r w:rsidRPr="19AF3060" w:rsidR="19AF3060">
        <w:rPr>
          <w:rFonts w:ascii="Times New Roman" w:hAnsi="Times New Roman" w:eastAsia="Times New Roman" w:cs="Times New Roman"/>
          <w:noProof w:val="0"/>
          <w:sz w:val="24"/>
          <w:szCs w:val="24"/>
          <w:lang w:val="en-US"/>
        </w:rPr>
        <w:t xml:space="preserve"> </w:t>
      </w:r>
      <w:r w:rsidRPr="19AF3060" w:rsidR="19AF3060">
        <w:rPr>
          <w:rFonts w:ascii="Times New Roman" w:hAnsi="Times New Roman" w:eastAsia="Times New Roman" w:cs="Times New Roman"/>
          <w:noProof w:val="0"/>
          <w:sz w:val="24"/>
          <w:szCs w:val="24"/>
          <w:lang w:val="en-US"/>
        </w:rPr>
        <w:t>likely prioritiz</w:t>
      </w:r>
      <w:r w:rsidRPr="19AF3060" w:rsidR="19AF3060">
        <w:rPr>
          <w:rFonts w:ascii="Times New Roman" w:hAnsi="Times New Roman" w:eastAsia="Times New Roman" w:cs="Times New Roman"/>
          <w:noProof w:val="0"/>
          <w:sz w:val="24"/>
          <w:szCs w:val="24"/>
          <w:lang w:val="en-US"/>
        </w:rPr>
        <w:t>e</w:t>
      </w:r>
      <w:r w:rsidRPr="19AF3060" w:rsidR="19AF3060">
        <w:rPr>
          <w:rFonts w:ascii="Times New Roman" w:hAnsi="Times New Roman" w:eastAsia="Times New Roman" w:cs="Times New Roman"/>
          <w:noProof w:val="0"/>
          <w:sz w:val="24"/>
          <w:szCs w:val="24"/>
          <w:lang w:val="en-US"/>
        </w:rPr>
        <w:t xml:space="preserve"> outcome-based education (OBE) frameworks, where institutions are evaluated based on student outcomes, employability, and research impact. This approach shifts the focus from inputs (like infrastructure) to outputs (like graduate competencies), ensuring that institutions are held accountable for delivering quality education.</w:t>
      </w:r>
    </w:p>
    <w:p w:rsidR="19AF3060" w:rsidP="19AF3060" w:rsidRDefault="19AF3060" w14:paraId="05B5C662" w14:textId="7601A48E">
      <w:pPr>
        <w:jc w:val="both"/>
      </w:pPr>
    </w:p>
    <w:p w:rsidR="19AF3060" w:rsidP="19AF3060" w:rsidRDefault="19AF3060" w14:paraId="49225CB6" w14:textId="24DC2FF8">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19AF3060" w:rsidR="19AF3060">
        <w:rPr>
          <w:rFonts w:ascii="Times New Roman" w:hAnsi="Times New Roman" w:eastAsia="Times New Roman" w:cs="Times New Roman"/>
          <w:b w:val="0"/>
          <w:bCs w:val="0"/>
          <w:noProof w:val="0"/>
          <w:color w:val="auto"/>
          <w:sz w:val="24"/>
          <w:szCs w:val="24"/>
          <w:lang w:val="en-US"/>
        </w:rPr>
        <w:t>Role of Technology in Governance</w:t>
      </w:r>
    </w:p>
    <w:p w:rsidR="19AF3060" w:rsidP="19AF3060" w:rsidRDefault="19AF3060" w14:paraId="5457E35B" w14:textId="49C3642C">
      <w:pPr>
        <w:spacing w:before="240" w:beforeAutospacing="off" w:after="240" w:afterAutospacing="off"/>
        <w:jc w:val="both"/>
        <w:rPr>
          <w:rFonts w:ascii="Times New Roman" w:hAnsi="Times New Roman" w:eastAsia="Times New Roman" w:cs="Times New Roman"/>
          <w:b w:val="0"/>
          <w:bCs w:val="0"/>
          <w:noProof w:val="0"/>
          <w:color w:val="auto"/>
          <w:sz w:val="24"/>
          <w:szCs w:val="24"/>
          <w:lang w:val="en-US"/>
        </w:rPr>
      </w:pPr>
      <w:r w:rsidRPr="19AF3060" w:rsidR="19AF3060">
        <w:rPr>
          <w:rFonts w:ascii="Times New Roman" w:hAnsi="Times New Roman" w:eastAsia="Times New Roman" w:cs="Times New Roman"/>
          <w:b w:val="0"/>
          <w:bCs w:val="0"/>
          <w:noProof w:val="0"/>
          <w:color w:val="auto"/>
          <w:sz w:val="24"/>
          <w:szCs w:val="24"/>
          <w:lang w:val="en-US"/>
        </w:rPr>
        <w:t>1. Digital Governance Platforms:</w:t>
      </w:r>
    </w:p>
    <w:p w:rsidR="19AF3060" w:rsidP="19AF3060" w:rsidRDefault="19AF3060" w14:paraId="1A49880E" w14:textId="218C3814">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The integration of technology into governance is poised to revolutionize higher education. Digital governance platforms can streamline administrative processes, reduce paperwork, and enhance transparency. Online portals for admissions, examinations, and faculty management can make information accessible and processes more efficient. Institutions can adopt Enterprise Resource Planning (ERP) systems to manage resources and operations seamlessly.</w:t>
      </w:r>
    </w:p>
    <w:p w:rsidR="19AF3060" w:rsidP="19AF3060" w:rsidRDefault="19AF3060" w14:paraId="507511E1" w14:textId="4834E87A">
      <w:pPr>
        <w:spacing w:before="240" w:beforeAutospacing="off" w:after="240" w:afterAutospacing="off"/>
        <w:jc w:val="both"/>
        <w:rPr>
          <w:rFonts w:ascii="Times New Roman" w:hAnsi="Times New Roman" w:eastAsia="Times New Roman" w:cs="Times New Roman"/>
          <w:b w:val="0"/>
          <w:bCs w:val="0"/>
          <w:noProof w:val="0"/>
          <w:color w:val="auto"/>
          <w:sz w:val="24"/>
          <w:szCs w:val="24"/>
          <w:lang w:val="en-US"/>
        </w:rPr>
      </w:pPr>
      <w:r w:rsidRPr="19AF3060" w:rsidR="19AF3060">
        <w:rPr>
          <w:rFonts w:ascii="Times New Roman" w:hAnsi="Times New Roman" w:eastAsia="Times New Roman" w:cs="Times New Roman"/>
          <w:b w:val="0"/>
          <w:bCs w:val="0"/>
          <w:noProof w:val="0"/>
          <w:color w:val="auto"/>
          <w:sz w:val="24"/>
          <w:szCs w:val="24"/>
          <w:lang w:val="en-US"/>
        </w:rPr>
        <w:t>2. Data-Driven Decision-Making:</w:t>
      </w:r>
    </w:p>
    <w:p w:rsidR="19AF3060" w:rsidP="19AF3060" w:rsidRDefault="19AF3060" w14:paraId="1D8D63C9" w14:textId="69742984">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Future governance will be increasingly </w:t>
      </w:r>
      <w:r w:rsidRPr="19AF3060" w:rsidR="19AF3060">
        <w:rPr>
          <w:rFonts w:ascii="Times New Roman" w:hAnsi="Times New Roman" w:eastAsia="Times New Roman" w:cs="Times New Roman"/>
          <w:noProof w:val="0"/>
          <w:sz w:val="24"/>
          <w:szCs w:val="24"/>
          <w:lang w:val="en-US"/>
        </w:rPr>
        <w:t>data driven</w:t>
      </w:r>
      <w:r w:rsidRPr="19AF3060" w:rsidR="19AF3060">
        <w:rPr>
          <w:rFonts w:ascii="Times New Roman" w:hAnsi="Times New Roman" w:eastAsia="Times New Roman" w:cs="Times New Roman"/>
          <w:noProof w:val="0"/>
          <w:sz w:val="24"/>
          <w:szCs w:val="24"/>
          <w:lang w:val="en-US"/>
        </w:rPr>
        <w:t xml:space="preserve">. Advanced analytics can help institutions </w:t>
      </w:r>
      <w:r w:rsidRPr="19AF3060" w:rsidR="19AF3060">
        <w:rPr>
          <w:rFonts w:ascii="Times New Roman" w:hAnsi="Times New Roman" w:eastAsia="Times New Roman" w:cs="Times New Roman"/>
          <w:noProof w:val="0"/>
          <w:sz w:val="24"/>
          <w:szCs w:val="24"/>
          <w:lang w:val="en-US"/>
        </w:rPr>
        <w:t>monitor</w:t>
      </w:r>
      <w:r w:rsidRPr="19AF3060" w:rsidR="19AF3060">
        <w:rPr>
          <w:rFonts w:ascii="Times New Roman" w:hAnsi="Times New Roman" w:eastAsia="Times New Roman" w:cs="Times New Roman"/>
          <w:noProof w:val="0"/>
          <w:sz w:val="24"/>
          <w:szCs w:val="24"/>
          <w:lang w:val="en-US"/>
        </w:rPr>
        <w:t xml:space="preserve"> performance metrics, track student progress, and </w:t>
      </w:r>
      <w:r w:rsidRPr="19AF3060" w:rsidR="19AF3060">
        <w:rPr>
          <w:rFonts w:ascii="Times New Roman" w:hAnsi="Times New Roman" w:eastAsia="Times New Roman" w:cs="Times New Roman"/>
          <w:noProof w:val="0"/>
          <w:sz w:val="24"/>
          <w:szCs w:val="24"/>
          <w:lang w:val="en-US"/>
        </w:rPr>
        <w:t>identify</w:t>
      </w:r>
      <w:r w:rsidRPr="19AF3060" w:rsidR="19AF3060">
        <w:rPr>
          <w:rFonts w:ascii="Times New Roman" w:hAnsi="Times New Roman" w:eastAsia="Times New Roman" w:cs="Times New Roman"/>
          <w:noProof w:val="0"/>
          <w:sz w:val="24"/>
          <w:szCs w:val="24"/>
          <w:lang w:val="en-US"/>
        </w:rPr>
        <w:t xml:space="preserve"> areas for improvement. Real-time data on faculty performance, research output, and </w:t>
      </w:r>
      <w:r w:rsidRPr="19AF3060" w:rsidR="19AF3060">
        <w:rPr>
          <w:rFonts w:ascii="Times New Roman" w:hAnsi="Times New Roman" w:eastAsia="Times New Roman" w:cs="Times New Roman"/>
          <w:noProof w:val="0"/>
          <w:sz w:val="24"/>
          <w:szCs w:val="24"/>
          <w:lang w:val="en-US"/>
        </w:rPr>
        <w:t>financial management</w:t>
      </w:r>
      <w:r w:rsidRPr="19AF3060" w:rsidR="19AF3060">
        <w:rPr>
          <w:rFonts w:ascii="Times New Roman" w:hAnsi="Times New Roman" w:eastAsia="Times New Roman" w:cs="Times New Roman"/>
          <w:noProof w:val="0"/>
          <w:sz w:val="24"/>
          <w:szCs w:val="24"/>
          <w:lang w:val="en-US"/>
        </w:rPr>
        <w:t xml:space="preserve"> can support informed decision-making. Tools like dashboards and scorecards can provide stakeholders with a clear view of institutional performance.</w:t>
      </w:r>
    </w:p>
    <w:p w:rsidR="19AF3060" w:rsidP="19AF3060" w:rsidRDefault="19AF3060" w14:paraId="76FEB5C3" w14:textId="76590262">
      <w:pPr>
        <w:spacing w:before="240" w:beforeAutospacing="off" w:after="240" w:afterAutospacing="off"/>
        <w:jc w:val="both"/>
        <w:rPr>
          <w:rFonts w:ascii="Times New Roman" w:hAnsi="Times New Roman" w:eastAsia="Times New Roman" w:cs="Times New Roman"/>
          <w:b w:val="0"/>
          <w:bCs w:val="0"/>
          <w:noProof w:val="0"/>
          <w:color w:val="auto"/>
          <w:sz w:val="24"/>
          <w:szCs w:val="24"/>
          <w:lang w:val="en-US"/>
        </w:rPr>
      </w:pPr>
      <w:r w:rsidRPr="19AF3060" w:rsidR="19AF3060">
        <w:rPr>
          <w:rFonts w:ascii="Times New Roman" w:hAnsi="Times New Roman" w:eastAsia="Times New Roman" w:cs="Times New Roman"/>
          <w:b w:val="0"/>
          <w:bCs w:val="0"/>
          <w:noProof w:val="0"/>
          <w:color w:val="auto"/>
          <w:sz w:val="24"/>
          <w:szCs w:val="24"/>
          <w:lang w:val="en-US"/>
        </w:rPr>
        <w:t>3. Blockchain for Transparency:</w:t>
      </w:r>
    </w:p>
    <w:p w:rsidR="19AF3060" w:rsidP="19AF3060" w:rsidRDefault="19AF3060" w14:paraId="58366978" w14:textId="1965C667">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Blockchain technology holds potential for enhancing transparency and security in HEI governance. It can be used to securely store academic records, preventing </w:t>
      </w:r>
      <w:r w:rsidRPr="19AF3060" w:rsidR="19AF3060">
        <w:rPr>
          <w:rFonts w:ascii="Times New Roman" w:hAnsi="Times New Roman" w:eastAsia="Times New Roman" w:cs="Times New Roman"/>
          <w:noProof w:val="0"/>
          <w:sz w:val="24"/>
          <w:szCs w:val="24"/>
          <w:lang w:val="en-US"/>
        </w:rPr>
        <w:t>tampering</w:t>
      </w:r>
      <w:r w:rsidRPr="19AF3060" w:rsidR="19AF3060">
        <w:rPr>
          <w:rFonts w:ascii="Times New Roman" w:hAnsi="Times New Roman" w:eastAsia="Times New Roman" w:cs="Times New Roman"/>
          <w:noProof w:val="0"/>
          <w:sz w:val="24"/>
          <w:szCs w:val="24"/>
          <w:lang w:val="en-US"/>
        </w:rPr>
        <w:t xml:space="preserve"> and ensuring authenticity. Blockchain can also enhance transparency in administrative processes such as admissions and procurement, reducing the risk of corruption.</w:t>
      </w:r>
    </w:p>
    <w:p w:rsidR="19AF3060" w:rsidP="19AF3060" w:rsidRDefault="19AF3060" w14:paraId="3CD451C5" w14:textId="3D8AEB50">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4. Artificial Intelligence and Automation:</w:t>
      </w:r>
    </w:p>
    <w:p w:rsidR="19AF3060" w:rsidP="19AF3060" w:rsidRDefault="19AF3060" w14:paraId="5E7645C3" w14:textId="51AB4B44">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noProof w:val="0"/>
          <w:sz w:val="24"/>
          <w:szCs w:val="24"/>
          <w:lang w:val="en-US"/>
        </w:rPr>
        <w:t xml:space="preserve">Artificial Intelligence (AI) and automation can streamline routine tasks, such as grading and attendance management, freeing up faculty time for teaching and research. AI-driven tools can also </w:t>
      </w:r>
      <w:r w:rsidRPr="19AF3060" w:rsidR="19AF3060">
        <w:rPr>
          <w:rFonts w:ascii="Times New Roman" w:hAnsi="Times New Roman" w:eastAsia="Times New Roman" w:cs="Times New Roman"/>
          <w:noProof w:val="0"/>
          <w:sz w:val="24"/>
          <w:szCs w:val="24"/>
          <w:lang w:val="en-US"/>
        </w:rPr>
        <w:t>assist</w:t>
      </w:r>
      <w:r w:rsidRPr="19AF3060" w:rsidR="19AF3060">
        <w:rPr>
          <w:rFonts w:ascii="Times New Roman" w:hAnsi="Times New Roman" w:eastAsia="Times New Roman" w:cs="Times New Roman"/>
          <w:noProof w:val="0"/>
          <w:sz w:val="24"/>
          <w:szCs w:val="24"/>
          <w:lang w:val="en-US"/>
        </w:rPr>
        <w:t xml:space="preserve"> in personalized learning, helping institutions tailor educational experiences to individual student needs. In governance, AI can be used to analyze trends, predict challenges, </w:t>
      </w:r>
      <w:r w:rsidRPr="19AF3060" w:rsidR="19AF3060">
        <w:rPr>
          <w:rFonts w:ascii="Times New Roman" w:hAnsi="Times New Roman" w:eastAsia="Times New Roman" w:cs="Times New Roman"/>
          <w:b w:val="0"/>
          <w:bCs w:val="0"/>
          <w:noProof w:val="0"/>
          <w:sz w:val="24"/>
          <w:szCs w:val="24"/>
          <w:lang w:val="en-US"/>
        </w:rPr>
        <w:t>and suggest data-backed policy changes.</w:t>
      </w:r>
    </w:p>
    <w:p w:rsidR="19AF3060" w:rsidP="19AF3060" w:rsidRDefault="19AF3060" w14:paraId="4E15C9FA" w14:textId="3420E428">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5. E-Governance for Accountability:</w:t>
      </w:r>
    </w:p>
    <w:p w:rsidR="19AF3060" w:rsidP="19AF3060" w:rsidRDefault="19AF3060" w14:paraId="5F765535" w14:textId="171BD286">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E-governance systems can enhance accountability by providing transparent, accessible information to stakeholders. For example, institutions can publish annual reports online, detailing their financials, academic achievements, and governance practices. This transparency builds trust among students, parents, and funding agencies.</w:t>
      </w:r>
    </w:p>
    <w:p w:rsidR="19AF3060" w:rsidP="19AF3060" w:rsidRDefault="19AF3060" w14:paraId="62B7897C" w14:textId="10D83BB5">
      <w:pPr>
        <w:jc w:val="both"/>
      </w:pPr>
    </w:p>
    <w:p w:rsidR="19AF3060" w:rsidP="19AF3060" w:rsidRDefault="19AF3060" w14:paraId="17AF4489" w14:textId="77AF22CA">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19AF3060" w:rsidR="19AF3060">
        <w:rPr>
          <w:rFonts w:ascii="Times New Roman" w:hAnsi="Times New Roman" w:eastAsia="Times New Roman" w:cs="Times New Roman"/>
          <w:b w:val="0"/>
          <w:bCs w:val="0"/>
          <w:noProof w:val="0"/>
          <w:color w:val="auto"/>
          <w:sz w:val="24"/>
          <w:szCs w:val="24"/>
          <w:lang w:val="en-US"/>
        </w:rPr>
        <w:t>International Collaborations and Benchmarking</w:t>
      </w:r>
    </w:p>
    <w:p w:rsidR="19AF3060" w:rsidP="19AF3060" w:rsidRDefault="19AF3060" w14:paraId="0C0B585C" w14:textId="4A4915CE">
      <w:pPr>
        <w:spacing w:before="240" w:beforeAutospacing="off" w:after="240" w:afterAutospacing="off"/>
        <w:jc w:val="both"/>
        <w:rPr>
          <w:rFonts w:ascii="Times New Roman" w:hAnsi="Times New Roman" w:eastAsia="Times New Roman" w:cs="Times New Roman"/>
          <w:b w:val="0"/>
          <w:bCs w:val="0"/>
          <w:noProof w:val="0"/>
          <w:color w:val="auto"/>
          <w:sz w:val="24"/>
          <w:szCs w:val="24"/>
          <w:lang w:val="en-US"/>
        </w:rPr>
      </w:pPr>
      <w:r w:rsidRPr="19AF3060" w:rsidR="19AF3060">
        <w:rPr>
          <w:rFonts w:ascii="Times New Roman" w:hAnsi="Times New Roman" w:eastAsia="Times New Roman" w:cs="Times New Roman"/>
          <w:b w:val="0"/>
          <w:bCs w:val="0"/>
          <w:noProof w:val="0"/>
          <w:color w:val="auto"/>
          <w:sz w:val="24"/>
          <w:szCs w:val="24"/>
          <w:lang w:val="en-US"/>
        </w:rPr>
        <w:t>1. Learning from Global Best Practices:</w:t>
      </w:r>
    </w:p>
    <w:p w:rsidR="19AF3060" w:rsidP="19AF3060" w:rsidRDefault="19AF3060" w14:paraId="7D32AC60" w14:textId="03CFCF02">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 Indian HEIs can benefit immensely from studying global best practices in governance. Countries with high-performing education systems, such as the United States, the United Kingdom, and Germany, offer valuable lessons in areas like faculty management, research funding, and student support services. Adapting these practices to the Indian context can help improve governance standards.</w:t>
      </w:r>
    </w:p>
    <w:p w:rsidR="19AF3060" w:rsidP="19AF3060" w:rsidRDefault="19AF3060" w14:paraId="61253AE7" w14:textId="4DB63FCC">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2. Collaborative Programs and Partnerships:</w:t>
      </w:r>
    </w:p>
    <w:p w:rsidR="19AF3060" w:rsidP="19AF3060" w:rsidRDefault="19AF3060" w14:paraId="2C78B010" w14:textId="44C323BE">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International collaborations are expected to play a pivotal role in shaping the future of Indian higher education governance. Partnerships with foreign universities can bring in </w:t>
      </w:r>
      <w:r w:rsidRPr="19AF3060" w:rsidR="19AF3060">
        <w:rPr>
          <w:rFonts w:ascii="Times New Roman" w:hAnsi="Times New Roman" w:eastAsia="Times New Roman" w:cs="Times New Roman"/>
          <w:noProof w:val="0"/>
          <w:sz w:val="24"/>
          <w:szCs w:val="24"/>
          <w:lang w:val="en-US"/>
        </w:rPr>
        <w:t>new ideas</w:t>
      </w:r>
      <w:r w:rsidRPr="19AF3060" w:rsidR="19AF3060">
        <w:rPr>
          <w:rFonts w:ascii="Times New Roman" w:hAnsi="Times New Roman" w:eastAsia="Times New Roman" w:cs="Times New Roman"/>
          <w:noProof w:val="0"/>
          <w:sz w:val="24"/>
          <w:szCs w:val="24"/>
          <w:lang w:val="en-US"/>
        </w:rPr>
        <w:t xml:space="preserve">, technologies, and pedagogical approaches. Collaborative research projects, exchange programs, and joint degrees can enhance institutional reputation and provide students with global exposure. Such partnerships also </w:t>
      </w:r>
      <w:r w:rsidRPr="19AF3060" w:rsidR="19AF3060">
        <w:rPr>
          <w:rFonts w:ascii="Times New Roman" w:hAnsi="Times New Roman" w:eastAsia="Times New Roman" w:cs="Times New Roman"/>
          <w:noProof w:val="0"/>
          <w:sz w:val="24"/>
          <w:szCs w:val="24"/>
          <w:lang w:val="en-US"/>
        </w:rPr>
        <w:t>necessitate</w:t>
      </w:r>
      <w:r w:rsidRPr="19AF3060" w:rsidR="19AF3060">
        <w:rPr>
          <w:rFonts w:ascii="Times New Roman" w:hAnsi="Times New Roman" w:eastAsia="Times New Roman" w:cs="Times New Roman"/>
          <w:noProof w:val="0"/>
          <w:sz w:val="24"/>
          <w:szCs w:val="24"/>
          <w:lang w:val="en-US"/>
        </w:rPr>
        <w:t xml:space="preserve"> strong governance structures to manage intellectual property, funding, and quality assurance.</w:t>
      </w:r>
    </w:p>
    <w:p w:rsidR="19AF3060" w:rsidP="19AF3060" w:rsidRDefault="19AF3060" w14:paraId="0F7A898A" w14:textId="3067E1BA">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3. Accreditation and Quality Benchmarking:</w:t>
      </w:r>
    </w:p>
    <w:p w:rsidR="19AF3060" w:rsidP="19AF3060" w:rsidRDefault="19AF3060" w14:paraId="3D5C1A59" w14:textId="3C81CEF9">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 xml:space="preserve">To compete globally, Indian institutions will need to align themselves with international accreditation standards. Obtaining accreditation from bodies like AACSB (for business schools) or ABET (for engineering programs) can enhance credibility and attract international students. Benchmarking against global standards helps institutions </w:t>
      </w:r>
      <w:r w:rsidRPr="19AF3060" w:rsidR="19AF3060">
        <w:rPr>
          <w:rFonts w:ascii="Times New Roman" w:hAnsi="Times New Roman" w:eastAsia="Times New Roman" w:cs="Times New Roman"/>
          <w:noProof w:val="0"/>
          <w:sz w:val="24"/>
          <w:szCs w:val="24"/>
          <w:lang w:val="en-US"/>
        </w:rPr>
        <w:t>identify</w:t>
      </w:r>
      <w:r w:rsidRPr="19AF3060" w:rsidR="19AF3060">
        <w:rPr>
          <w:rFonts w:ascii="Times New Roman" w:hAnsi="Times New Roman" w:eastAsia="Times New Roman" w:cs="Times New Roman"/>
          <w:noProof w:val="0"/>
          <w:sz w:val="24"/>
          <w:szCs w:val="24"/>
          <w:lang w:val="en-US"/>
        </w:rPr>
        <w:t xml:space="preserve"> gaps and implement best practices to improve quality.</w:t>
      </w:r>
    </w:p>
    <w:p w:rsidR="19AF3060" w:rsidP="19AF3060" w:rsidRDefault="19AF3060" w14:paraId="48B4B7BF" w14:textId="480B680C">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4. Promoting Cross-Border Mobility:</w:t>
      </w:r>
    </w:p>
    <w:p w:rsidR="19AF3060" w:rsidP="19AF3060" w:rsidRDefault="19AF3060" w14:paraId="468E3FBD" w14:textId="0C658D82">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Facilitating the mobility of students and faculty between Indian and foreign institutions can foster knowledge exchange and innovation. Governance frameworks will need to address issues such as credit transfers, recognition of foreign qualifications, and visa policies to make this mobility seamless.</w:t>
      </w:r>
    </w:p>
    <w:p w:rsidR="19AF3060" w:rsidP="19AF3060" w:rsidRDefault="19AF3060" w14:paraId="6ED30575" w14:textId="465C139D">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19AF3060" w:rsidR="19AF3060">
        <w:rPr>
          <w:rFonts w:ascii="Times New Roman" w:hAnsi="Times New Roman" w:eastAsia="Times New Roman" w:cs="Times New Roman"/>
          <w:b w:val="0"/>
          <w:bCs w:val="0"/>
          <w:noProof w:val="0"/>
          <w:sz w:val="24"/>
          <w:szCs w:val="24"/>
          <w:lang w:val="en-US"/>
        </w:rPr>
        <w:t>5. Internationalization of Curriculum:</w:t>
      </w:r>
    </w:p>
    <w:p w:rsidR="19AF3060" w:rsidP="19AF3060" w:rsidRDefault="19AF3060" w14:paraId="00C6CFF0" w14:textId="77878DA5">
      <w:pPr>
        <w:spacing w:before="240" w:beforeAutospacing="off" w:after="240" w:afterAutospacing="off"/>
        <w:jc w:val="both"/>
      </w:pPr>
      <w:r w:rsidRPr="19AF3060" w:rsidR="19AF3060">
        <w:rPr>
          <w:rFonts w:ascii="Times New Roman" w:hAnsi="Times New Roman" w:eastAsia="Times New Roman" w:cs="Times New Roman"/>
          <w:noProof w:val="0"/>
          <w:sz w:val="24"/>
          <w:szCs w:val="24"/>
          <w:lang w:val="en-US"/>
        </w:rPr>
        <w:t>Future governance will emphasize creating globally relevant curricula that prepare students for international careers. This involves incorporating global perspectives, case studies, and languages into the curriculum. Governance bodies will need to ensure that internationalization efforts are aligned with institutional goals and quality standards.</w:t>
      </w:r>
    </w:p>
    <w:p w:rsidR="19AF3060" w:rsidP="0C61C7D9" w:rsidRDefault="19AF3060" w14:paraId="30A89212" w14:textId="71CB1C6A">
      <w:pPr>
        <w:spacing w:before="240" w:beforeAutospacing="off" w:after="240" w:afterAutospacing="off"/>
        <w:ind/>
        <w:jc w:val="both"/>
      </w:pPr>
      <w:r w:rsidRPr="0C61C7D9" w:rsidR="4431F400">
        <w:rPr>
          <w:rFonts w:ascii="Times New Roman" w:hAnsi="Times New Roman" w:eastAsia="Times New Roman" w:cs="Times New Roman"/>
          <w:noProof w:val="0"/>
          <w:sz w:val="24"/>
          <w:szCs w:val="24"/>
          <w:lang w:val="en-US"/>
        </w:rPr>
        <w:t>Overall</w:t>
      </w:r>
      <w:r w:rsidRPr="0C61C7D9" w:rsidR="4431F400">
        <w:rPr>
          <w:rFonts w:ascii="Times New Roman" w:hAnsi="Times New Roman" w:eastAsia="Times New Roman" w:cs="Times New Roman"/>
          <w:noProof w:val="0"/>
          <w:sz w:val="24"/>
          <w:szCs w:val="24"/>
          <w:lang w:val="en-US"/>
        </w:rPr>
        <w:t>, the future of governance in Indian Higher Education Institutions hinges on comprehensive reforms, technological integration, and international collaborations. By simplifying regulatory frameworks, enhancing institutional autonomy, and embracing digital tools, India can create a more transparent, accountable, and dynamic higher education system. Learning from global best practices and fostering international partnerships will further strengthen governance, ensuring that Indian HEIs are well-positioned to compete on the world stage. These efforts will not only elevate the quality of education but also contribute to national development and social progress, making higher education a true engine of growth and innovation in India.</w:t>
      </w:r>
    </w:p>
    <w:p xmlns:wp14="http://schemas.microsoft.com/office/word/2010/wordml" w:rsidP="7F4F9DD8" wp14:paraId="68837DEB" wp14:textId="66BA623D">
      <w:pPr>
        <w:pStyle w:val="Normal"/>
        <w:spacing w:before="240" w:beforeAutospacing="off" w:after="240" w:afterAutospacing="off"/>
        <w:ind w:left="0"/>
        <w:jc w:val="both"/>
        <w:rPr>
          <w:rFonts w:ascii="Times New Roman" w:hAnsi="Times New Roman" w:eastAsia="Times New Roman" w:cs="Times New Roman"/>
          <w:b w:val="0"/>
          <w:bCs w:val="0"/>
          <w:noProof w:val="0"/>
          <w:color w:val="auto"/>
          <w:sz w:val="24"/>
          <w:szCs w:val="24"/>
          <w:lang w:val="en-US"/>
        </w:rPr>
      </w:pPr>
    </w:p>
    <w:p xmlns:wp14="http://schemas.microsoft.com/office/word/2010/wordml" w:rsidP="7F4F9DD8" wp14:paraId="67773A32" wp14:textId="3A457BF5">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7F4F9DD8" w:rsidR="7F4F9DD8">
        <w:rPr>
          <w:rFonts w:ascii="Times New Roman" w:hAnsi="Times New Roman" w:eastAsia="Times New Roman" w:cs="Times New Roman"/>
          <w:b w:val="0"/>
          <w:bCs w:val="0"/>
          <w:noProof w:val="0"/>
          <w:color w:val="auto"/>
          <w:sz w:val="24"/>
          <w:szCs w:val="24"/>
          <w:lang w:val="en-US"/>
        </w:rPr>
        <w:t>Case Studies: Governance Models in Higher Education Institutions in India</w:t>
      </w:r>
    </w:p>
    <w:p xmlns:wp14="http://schemas.microsoft.com/office/word/2010/wordml" w:rsidP="0C61C7D9" wp14:paraId="465607C3" wp14:textId="2CFC9092">
      <w:pPr>
        <w:spacing w:before="240" w:beforeAutospacing="off" w:after="240" w:afterAutospacing="off"/>
        <w:jc w:val="both"/>
      </w:pPr>
      <w:r w:rsidRPr="0C61C7D9" w:rsidR="740FD902">
        <w:rPr>
          <w:rFonts w:ascii="Times New Roman" w:hAnsi="Times New Roman" w:eastAsia="Times New Roman" w:cs="Times New Roman"/>
          <w:noProof w:val="0"/>
          <w:sz w:val="24"/>
          <w:szCs w:val="24"/>
          <w:lang w:val="en-US"/>
        </w:rPr>
        <w:t>Examining specific case studies offers valuable insights into the varied governance structures within Indian Higher Education Institutions (HEIs) and their global counterparts. This section analyzes governance models at premier Indian institutions such as the Indian Institutes of Technology (IITs) and leading private universities, followed by a comparison with global models, particularly from the United States and the United Kingdom.</w:t>
      </w:r>
    </w:p>
    <w:p xmlns:wp14="http://schemas.microsoft.com/office/word/2010/wordml" w:rsidP="7F4F9DD8" wp14:paraId="47854B3D" wp14:textId="4B2F504D">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7F4F9DD8" w:rsidR="7F4F9DD8">
        <w:rPr>
          <w:rFonts w:ascii="Times New Roman" w:hAnsi="Times New Roman" w:eastAsia="Times New Roman" w:cs="Times New Roman"/>
          <w:b w:val="0"/>
          <w:bCs w:val="0"/>
          <w:noProof w:val="0"/>
          <w:sz w:val="24"/>
          <w:szCs w:val="24"/>
          <w:lang w:val="en-US"/>
        </w:rPr>
        <w:t>1. Indian Institutes of Technology (IITs):</w:t>
      </w:r>
    </w:p>
    <w:p xmlns:wp14="http://schemas.microsoft.com/office/word/2010/wordml" w:rsidP="7F4F9DD8" wp14:paraId="4320A398" wp14:textId="62E5CB76">
      <w:pPr>
        <w:spacing w:before="240" w:beforeAutospacing="off" w:after="240" w:afterAutospacing="off"/>
        <w:jc w:val="both"/>
      </w:pPr>
      <w:r w:rsidRPr="7F4F9DD8" w:rsidR="7F4F9DD8">
        <w:rPr>
          <w:rFonts w:ascii="Times New Roman" w:hAnsi="Times New Roman" w:eastAsia="Times New Roman" w:cs="Times New Roman"/>
          <w:noProof w:val="0"/>
          <w:sz w:val="24"/>
          <w:szCs w:val="24"/>
          <w:lang w:val="en-US"/>
        </w:rPr>
        <w:t>The IITs represent some of the most prestigious public engineering institutions in India, known for their autonomous governance structures. Established by an Act of Parliament, each IIT operates as an independent entity under the oversight of the Ministry of Education but enjoys substantial autonomy. Key aspects include:</w:t>
      </w:r>
    </w:p>
    <w:p xmlns:wp14="http://schemas.microsoft.com/office/word/2010/wordml" w:rsidP="7F4F9DD8" wp14:paraId="6E80D155" wp14:textId="4727534A">
      <w:pPr>
        <w:pStyle w:val="ListParagraph"/>
        <w:numPr>
          <w:ilvl w:val="0"/>
          <w:numId w:val="14"/>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Governing Bodies:</w:t>
      </w:r>
      <w:r w:rsidRPr="7F4F9DD8" w:rsidR="7F4F9DD8">
        <w:rPr>
          <w:rFonts w:ascii="Times New Roman" w:hAnsi="Times New Roman" w:eastAsia="Times New Roman" w:cs="Times New Roman"/>
          <w:noProof w:val="0"/>
          <w:sz w:val="24"/>
          <w:szCs w:val="24"/>
          <w:lang w:val="en-US"/>
        </w:rPr>
        <w:t xml:space="preserve"> Each IIT has a Board of Governors (BoG) responsible for overall policy decisions, financial management, and strategic planning. The BoG includes representatives from the government, industry, faculty, and alumni, ensuring a broad range of perspectives.</w:t>
      </w:r>
    </w:p>
    <w:p xmlns:wp14="http://schemas.microsoft.com/office/word/2010/wordml" w:rsidP="7F4F9DD8" wp14:paraId="376BEE1C" wp14:textId="2263882D">
      <w:pPr>
        <w:pStyle w:val="ListParagraph"/>
        <w:numPr>
          <w:ilvl w:val="0"/>
          <w:numId w:val="14"/>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Academic Autonomy:</w:t>
      </w:r>
      <w:r w:rsidRPr="7F4F9DD8" w:rsidR="7F4F9DD8">
        <w:rPr>
          <w:rFonts w:ascii="Times New Roman" w:hAnsi="Times New Roman" w:eastAsia="Times New Roman" w:cs="Times New Roman"/>
          <w:noProof w:val="0"/>
          <w:sz w:val="24"/>
          <w:szCs w:val="24"/>
          <w:lang w:val="en-US"/>
        </w:rPr>
        <w:t xml:space="preserve"> IITs have the freedom to design their curricula, set admission standards, and recruit faculty without extensive government intervention. This academic independence allows them to innovate and maintain high standards.</w:t>
      </w:r>
    </w:p>
    <w:p xmlns:wp14="http://schemas.microsoft.com/office/word/2010/wordml" w:rsidP="7F4F9DD8" wp14:paraId="38185C65" wp14:textId="679DE7C1">
      <w:pPr>
        <w:pStyle w:val="ListParagraph"/>
        <w:numPr>
          <w:ilvl w:val="0"/>
          <w:numId w:val="14"/>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Accountability Mechanisms:</w:t>
      </w:r>
      <w:r w:rsidRPr="7F4F9DD8" w:rsidR="7F4F9DD8">
        <w:rPr>
          <w:rFonts w:ascii="Times New Roman" w:hAnsi="Times New Roman" w:eastAsia="Times New Roman" w:cs="Times New Roman"/>
          <w:noProof w:val="0"/>
          <w:sz w:val="24"/>
          <w:szCs w:val="24"/>
          <w:lang w:val="en-US"/>
        </w:rPr>
        <w:t xml:space="preserve"> Despite their autonomy, IITs are accountable to the Ministry of Education and undergo regular performance reviews. Their funding largely comes from government grants, but they are encouraged to raise funds through research collaborations and industry partnerships.</w:t>
      </w:r>
    </w:p>
    <w:p xmlns:wp14="http://schemas.microsoft.com/office/word/2010/wordml" w:rsidP="7F4F9DD8" wp14:paraId="46F00515" wp14:textId="62BF9401">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Strengths:</w:t>
      </w:r>
    </w:p>
    <w:p xmlns:wp14="http://schemas.microsoft.com/office/word/2010/wordml" w:rsidP="7F4F9DD8" wp14:paraId="744FD3CB" wp14:textId="3FC86B3A">
      <w:pPr>
        <w:pStyle w:val="ListParagraph"/>
        <w:numPr>
          <w:ilvl w:val="0"/>
          <w:numId w:val="15"/>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Flexibility in decision-making fosters innovation.</w:t>
      </w:r>
    </w:p>
    <w:p xmlns:wp14="http://schemas.microsoft.com/office/word/2010/wordml" w:rsidP="7F4F9DD8" wp14:paraId="32476DF8" wp14:textId="62DD7187">
      <w:pPr>
        <w:pStyle w:val="ListParagraph"/>
        <w:numPr>
          <w:ilvl w:val="0"/>
          <w:numId w:val="15"/>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Strong industry linkages enhance research and employment outcomes.</w:t>
      </w:r>
    </w:p>
    <w:p xmlns:wp14="http://schemas.microsoft.com/office/word/2010/wordml" w:rsidP="7F4F9DD8" wp14:paraId="3F65D693" wp14:textId="57C6D7B3">
      <w:pPr>
        <w:pStyle w:val="ListParagraph"/>
        <w:numPr>
          <w:ilvl w:val="0"/>
          <w:numId w:val="15"/>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Transparent processes and rigorous selection criteria ensure quality education.</w:t>
      </w:r>
    </w:p>
    <w:p xmlns:wp14="http://schemas.microsoft.com/office/word/2010/wordml" w:rsidP="7F4F9DD8" wp14:paraId="704B1A39" wp14:textId="2031181C">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Challenges:</w:t>
      </w:r>
    </w:p>
    <w:p xmlns:wp14="http://schemas.microsoft.com/office/word/2010/wordml" w:rsidP="7F4F9DD8" wp14:paraId="41A69A97" wp14:textId="72D5BE52">
      <w:pPr>
        <w:pStyle w:val="ListParagraph"/>
        <w:numPr>
          <w:ilvl w:val="0"/>
          <w:numId w:val="16"/>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Dependence on government funding can limit financial autonomy.</w:t>
      </w:r>
    </w:p>
    <w:p xmlns:wp14="http://schemas.microsoft.com/office/word/2010/wordml" w:rsidP="7F4F9DD8" wp14:paraId="31E68A53" wp14:textId="77774813">
      <w:pPr>
        <w:pStyle w:val="ListParagraph"/>
        <w:numPr>
          <w:ilvl w:val="0"/>
          <w:numId w:val="16"/>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Pressure to maintain excellence with limited resources and faculty shortages.</w:t>
      </w:r>
    </w:p>
    <w:p xmlns:wp14="http://schemas.microsoft.com/office/word/2010/wordml" w:rsidP="7F4F9DD8" wp14:paraId="234FD4FB" wp14:textId="037A509C">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2. Private Institutions:</w:t>
      </w:r>
    </w:p>
    <w:p xmlns:wp14="http://schemas.microsoft.com/office/word/2010/wordml" w:rsidP="7F4F9DD8" wp14:paraId="374CB1C4" wp14:textId="6E7B38FA">
      <w:pPr>
        <w:spacing w:before="240" w:beforeAutospacing="off" w:after="240" w:afterAutospacing="off"/>
        <w:jc w:val="both"/>
      </w:pPr>
      <w:r w:rsidRPr="0C61C7D9" w:rsidR="740FD902">
        <w:rPr>
          <w:rFonts w:ascii="Times New Roman" w:hAnsi="Times New Roman" w:eastAsia="Times New Roman" w:cs="Times New Roman"/>
          <w:noProof w:val="0"/>
          <w:sz w:val="24"/>
          <w:szCs w:val="24"/>
          <w:lang w:val="en-US"/>
        </w:rPr>
        <w:t>Private universities in India, such as Ashoka University, O.P. Jindal Global University, and VIT, operate under different governance structures. They are regulated by the University Grants Commission (UGC) and relevant state laws but enjoy significant operational autonomy. Key features include:</w:t>
      </w:r>
    </w:p>
    <w:p xmlns:wp14="http://schemas.microsoft.com/office/word/2010/wordml" w:rsidP="7F4F9DD8" wp14:paraId="518E7882" wp14:textId="76BA96B9">
      <w:pPr>
        <w:pStyle w:val="ListParagraph"/>
        <w:numPr>
          <w:ilvl w:val="0"/>
          <w:numId w:val="17"/>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Corporate Governance Models:</w:t>
      </w:r>
      <w:r w:rsidRPr="7F4F9DD8" w:rsidR="7F4F9DD8">
        <w:rPr>
          <w:rFonts w:ascii="Times New Roman" w:hAnsi="Times New Roman" w:eastAsia="Times New Roman" w:cs="Times New Roman"/>
          <w:noProof w:val="0"/>
          <w:sz w:val="24"/>
          <w:szCs w:val="24"/>
          <w:lang w:val="en-US"/>
        </w:rPr>
        <w:t xml:space="preserve"> Many private institutions adopt a corporate-style governance model with a Board of Trustees or a Governing Council overseeing operations. These bodies include founders, industry experts, and academic leaders, ensuring a mix of business acumen and educational insight.</w:t>
      </w:r>
    </w:p>
    <w:p xmlns:wp14="http://schemas.microsoft.com/office/word/2010/wordml" w:rsidP="7F4F9DD8" wp14:paraId="2665AB8F" wp14:textId="2AE3231C">
      <w:pPr>
        <w:pStyle w:val="ListParagraph"/>
        <w:numPr>
          <w:ilvl w:val="0"/>
          <w:numId w:val="17"/>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Financial Independence:</w:t>
      </w:r>
      <w:r w:rsidRPr="7F4F9DD8" w:rsidR="7F4F9DD8">
        <w:rPr>
          <w:rFonts w:ascii="Times New Roman" w:hAnsi="Times New Roman" w:eastAsia="Times New Roman" w:cs="Times New Roman"/>
          <w:noProof w:val="0"/>
          <w:sz w:val="24"/>
          <w:szCs w:val="24"/>
          <w:lang w:val="en-US"/>
        </w:rPr>
        <w:t xml:space="preserve"> Unlike public institutions, private universities rely heavily on tuition fees, donations, and endowments. This financial independence allows them to invest in infrastructure and recruit international faculty.</w:t>
      </w:r>
    </w:p>
    <w:p xmlns:wp14="http://schemas.microsoft.com/office/word/2010/wordml" w:rsidP="7F4F9DD8" wp14:paraId="02B4E330" wp14:textId="3D92CDFF">
      <w:pPr>
        <w:pStyle w:val="ListParagraph"/>
        <w:numPr>
          <w:ilvl w:val="0"/>
          <w:numId w:val="17"/>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Quality Assurance:</w:t>
      </w:r>
      <w:r w:rsidRPr="7F4F9DD8" w:rsidR="7F4F9DD8">
        <w:rPr>
          <w:rFonts w:ascii="Times New Roman" w:hAnsi="Times New Roman" w:eastAsia="Times New Roman" w:cs="Times New Roman"/>
          <w:noProof w:val="0"/>
          <w:sz w:val="24"/>
          <w:szCs w:val="24"/>
          <w:lang w:val="en-US"/>
        </w:rPr>
        <w:t xml:space="preserve"> Private institutions are subject to accreditation processes but face fewer bureaucratic hurdles compared to public universities. They often adopt internal quality assurance mechanisms, including regular audits and performance reviews.</w:t>
      </w:r>
    </w:p>
    <w:p xmlns:wp14="http://schemas.microsoft.com/office/word/2010/wordml" w:rsidP="7F4F9DD8" wp14:paraId="7E226D1C" wp14:textId="0E3DAD64">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Strengths:</w:t>
      </w:r>
    </w:p>
    <w:p xmlns:wp14="http://schemas.microsoft.com/office/word/2010/wordml" w:rsidP="7F4F9DD8" wp14:paraId="3CF6A36B" wp14:textId="1569021A">
      <w:pPr>
        <w:pStyle w:val="ListParagraph"/>
        <w:numPr>
          <w:ilvl w:val="0"/>
          <w:numId w:val="18"/>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Greater flexibility in curriculum design and academic offerings.</w:t>
      </w:r>
    </w:p>
    <w:p xmlns:wp14="http://schemas.microsoft.com/office/word/2010/wordml" w:rsidP="7F4F9DD8" wp14:paraId="550BDE4E" wp14:textId="05185078">
      <w:pPr>
        <w:pStyle w:val="ListParagraph"/>
        <w:numPr>
          <w:ilvl w:val="0"/>
          <w:numId w:val="18"/>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Strong industry and international collaborations enhance global exposure.</w:t>
      </w:r>
    </w:p>
    <w:p xmlns:wp14="http://schemas.microsoft.com/office/word/2010/wordml" w:rsidP="7F4F9DD8" wp14:paraId="5EB76A25" wp14:textId="680FDFD5">
      <w:pPr>
        <w:pStyle w:val="ListParagraph"/>
        <w:numPr>
          <w:ilvl w:val="0"/>
          <w:numId w:val="18"/>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Ability to attract top talent through competitive salaries and facilities.</w:t>
      </w:r>
    </w:p>
    <w:p xmlns:wp14="http://schemas.microsoft.com/office/word/2010/wordml" w:rsidP="7F4F9DD8" wp14:paraId="455D75BA" wp14:textId="146E8476">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Challenges:</w:t>
      </w:r>
    </w:p>
    <w:p xmlns:wp14="http://schemas.microsoft.com/office/word/2010/wordml" w:rsidP="7F4F9DD8" wp14:paraId="415B8F8C" wp14:textId="5F427467">
      <w:pPr>
        <w:pStyle w:val="ListParagraph"/>
        <w:numPr>
          <w:ilvl w:val="0"/>
          <w:numId w:val="19"/>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High tuition fees can limit accessibility for economically disadvantaged students.</w:t>
      </w:r>
    </w:p>
    <w:p xmlns:wp14="http://schemas.microsoft.com/office/word/2010/wordml" w:rsidP="7F4F9DD8" wp14:paraId="26FB3F6D" wp14:textId="0A8DFA2A">
      <w:pPr>
        <w:pStyle w:val="ListParagraph"/>
        <w:numPr>
          <w:ilvl w:val="0"/>
          <w:numId w:val="19"/>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Maintaining quality standards amid rapid expansion.</w:t>
      </w:r>
    </w:p>
    <w:p xmlns:wp14="http://schemas.microsoft.com/office/word/2010/wordml" w:rsidP="7F4F9DD8" wp14:paraId="3011283B" wp14:textId="12D58C51">
      <w:pPr>
        <w:spacing w:before="240" w:beforeAutospacing="off" w:after="240" w:afterAutospacing="off"/>
        <w:jc w:val="both"/>
      </w:pPr>
    </w:p>
    <w:p xmlns:wp14="http://schemas.microsoft.com/office/word/2010/wordml" w:rsidP="7F4F9DD8" wp14:paraId="6BEC7792" wp14:textId="69861B8E">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7F4F9DD8" w:rsidR="7F4F9DD8">
        <w:rPr>
          <w:rFonts w:ascii="Times New Roman" w:hAnsi="Times New Roman" w:eastAsia="Times New Roman" w:cs="Times New Roman"/>
          <w:b w:val="0"/>
          <w:bCs w:val="0"/>
          <w:noProof w:val="0"/>
          <w:color w:val="auto"/>
          <w:sz w:val="24"/>
          <w:szCs w:val="24"/>
          <w:lang w:val="en-US"/>
        </w:rPr>
        <w:t>Comparing Indian Governance Models with Global Practices</w:t>
      </w:r>
    </w:p>
    <w:p xmlns:wp14="http://schemas.microsoft.com/office/word/2010/wordml" w:rsidP="7F4F9DD8" wp14:paraId="2EF0AA95" wp14:textId="306DFB6B">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7F4F9DD8" w:rsidR="7F4F9DD8">
        <w:rPr>
          <w:rFonts w:ascii="Times New Roman" w:hAnsi="Times New Roman" w:eastAsia="Times New Roman" w:cs="Times New Roman"/>
          <w:b w:val="0"/>
          <w:bCs w:val="0"/>
          <w:noProof w:val="0"/>
          <w:sz w:val="24"/>
          <w:szCs w:val="24"/>
          <w:lang w:val="en-US"/>
        </w:rPr>
        <w:t>1. United States (US):</w:t>
      </w:r>
    </w:p>
    <w:p xmlns:wp14="http://schemas.microsoft.com/office/word/2010/wordml" w:rsidP="7F4F9DD8" wp14:paraId="2ACCB5B3" wp14:textId="15D6D55A">
      <w:pPr>
        <w:spacing w:before="240" w:beforeAutospacing="off" w:after="240" w:afterAutospacing="off"/>
        <w:jc w:val="both"/>
      </w:pPr>
      <w:r w:rsidRPr="7F4F9DD8" w:rsidR="7F4F9DD8">
        <w:rPr>
          <w:rFonts w:ascii="Times New Roman" w:hAnsi="Times New Roman" w:eastAsia="Times New Roman" w:cs="Times New Roman"/>
          <w:noProof w:val="0"/>
          <w:sz w:val="24"/>
          <w:szCs w:val="24"/>
          <w:lang w:val="en-US"/>
        </w:rPr>
        <w:t xml:space="preserve"> Higher education governance in the US is characterized by a decentralized and autonomous system, with significant institutional freedom. Key features include:</w:t>
      </w:r>
    </w:p>
    <w:p xmlns:wp14="http://schemas.microsoft.com/office/word/2010/wordml" w:rsidP="7F4F9DD8" wp14:paraId="35C9774B" wp14:textId="4DDCF73E">
      <w:pPr>
        <w:pStyle w:val="ListParagraph"/>
        <w:numPr>
          <w:ilvl w:val="0"/>
          <w:numId w:val="20"/>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Institutional Autonomy:</w:t>
      </w:r>
      <w:r w:rsidRPr="7F4F9DD8" w:rsidR="7F4F9DD8">
        <w:rPr>
          <w:rFonts w:ascii="Times New Roman" w:hAnsi="Times New Roman" w:eastAsia="Times New Roman" w:cs="Times New Roman"/>
          <w:noProof w:val="0"/>
          <w:sz w:val="24"/>
          <w:szCs w:val="24"/>
          <w:lang w:val="en-US"/>
        </w:rPr>
        <w:t xml:space="preserve"> US universities, whether public or private, operate independently, with minimal state intervention. Governing boards, typically composed of trustees or regents, oversee operations, set policies, and ensure financial stability.</w:t>
      </w:r>
    </w:p>
    <w:p xmlns:wp14="http://schemas.microsoft.com/office/word/2010/wordml" w:rsidP="7F4F9DD8" wp14:paraId="1E54B3B9" wp14:textId="6C374468">
      <w:pPr>
        <w:pStyle w:val="ListParagraph"/>
        <w:numPr>
          <w:ilvl w:val="0"/>
          <w:numId w:val="20"/>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Shared Governance:</w:t>
      </w:r>
      <w:r w:rsidRPr="7F4F9DD8" w:rsidR="7F4F9DD8">
        <w:rPr>
          <w:rFonts w:ascii="Times New Roman" w:hAnsi="Times New Roman" w:eastAsia="Times New Roman" w:cs="Times New Roman"/>
          <w:noProof w:val="0"/>
          <w:sz w:val="24"/>
          <w:szCs w:val="24"/>
          <w:lang w:val="en-US"/>
        </w:rPr>
        <w:t xml:space="preserve"> US institutions emphasize shared governance, where faculty, administrators, and sometimes students participate in decision-making. Faculty senates play a crucial role in academic matters, ensuring that educational policies reflect academic expertise.</w:t>
      </w:r>
    </w:p>
    <w:p xmlns:wp14="http://schemas.microsoft.com/office/word/2010/wordml" w:rsidP="7F4F9DD8" wp14:paraId="1EA569B1" wp14:textId="68B981EC">
      <w:pPr>
        <w:pStyle w:val="ListParagraph"/>
        <w:numPr>
          <w:ilvl w:val="0"/>
          <w:numId w:val="20"/>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Funding Models:</w:t>
      </w:r>
      <w:r w:rsidRPr="7F4F9DD8" w:rsidR="7F4F9DD8">
        <w:rPr>
          <w:rFonts w:ascii="Times New Roman" w:hAnsi="Times New Roman" w:eastAsia="Times New Roman" w:cs="Times New Roman"/>
          <w:noProof w:val="0"/>
          <w:sz w:val="24"/>
          <w:szCs w:val="24"/>
          <w:lang w:val="en-US"/>
        </w:rPr>
        <w:t xml:space="preserve"> Public universities receive state funding but are increasingly reliant on tuition fees, research grants, and donations. Private universities operate without state funding, relying heavily on endowments and tuition.</w:t>
      </w:r>
    </w:p>
    <w:p xmlns:wp14="http://schemas.microsoft.com/office/word/2010/wordml" w:rsidP="7F4F9DD8" wp14:paraId="3D121D66" wp14:textId="05988BA1">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Lessons for India:</w:t>
      </w:r>
    </w:p>
    <w:p xmlns:wp14="http://schemas.microsoft.com/office/word/2010/wordml" w:rsidP="7F4F9DD8" wp14:paraId="670B44A2" wp14:textId="2AF08DA1">
      <w:pPr>
        <w:pStyle w:val="ListParagraph"/>
        <w:numPr>
          <w:ilvl w:val="0"/>
          <w:numId w:val="21"/>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Adopting shared governance models can enhance faculty involvement and institutional accountability.</w:t>
      </w:r>
    </w:p>
    <w:p xmlns:wp14="http://schemas.microsoft.com/office/word/2010/wordml" w:rsidP="7F4F9DD8" wp14:paraId="0C288B23" wp14:textId="193B3AB5">
      <w:pPr>
        <w:pStyle w:val="ListParagraph"/>
        <w:numPr>
          <w:ilvl w:val="0"/>
          <w:numId w:val="21"/>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Encouraging endowment creation and alumni contributions can reduce financial dependence on government grants.</w:t>
      </w:r>
    </w:p>
    <w:p xmlns:wp14="http://schemas.microsoft.com/office/word/2010/wordml" w:rsidP="7F4F9DD8" wp14:paraId="53A61187" wp14:textId="4B03C215">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2. United Kingdom (UK):</w:t>
      </w:r>
    </w:p>
    <w:p xmlns:wp14="http://schemas.microsoft.com/office/word/2010/wordml" w:rsidP="7F4F9DD8" wp14:paraId="270A0919" wp14:textId="538ECD1A">
      <w:pPr>
        <w:spacing w:before="240" w:beforeAutospacing="off" w:after="240" w:afterAutospacing="off"/>
        <w:jc w:val="both"/>
      </w:pPr>
      <w:r w:rsidRPr="7F4F9DD8" w:rsidR="7F4F9DD8">
        <w:rPr>
          <w:rFonts w:ascii="Times New Roman" w:hAnsi="Times New Roman" w:eastAsia="Times New Roman" w:cs="Times New Roman"/>
          <w:noProof w:val="0"/>
          <w:sz w:val="24"/>
          <w:szCs w:val="24"/>
          <w:lang w:val="en-US"/>
        </w:rPr>
        <w:t xml:space="preserve"> UK universities operate under a dual governance structure that balances academic freedom with regulatory oversight. Key aspects include:</w:t>
      </w:r>
    </w:p>
    <w:p xmlns:wp14="http://schemas.microsoft.com/office/word/2010/wordml" w:rsidP="7F4F9DD8" wp14:paraId="53F238C9" wp14:textId="159EA4F1">
      <w:pPr>
        <w:pStyle w:val="ListParagraph"/>
        <w:numPr>
          <w:ilvl w:val="0"/>
          <w:numId w:val="22"/>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Governing Councils:</w:t>
      </w:r>
      <w:r w:rsidRPr="7F4F9DD8" w:rsidR="7F4F9DD8">
        <w:rPr>
          <w:rFonts w:ascii="Times New Roman" w:hAnsi="Times New Roman" w:eastAsia="Times New Roman" w:cs="Times New Roman"/>
          <w:noProof w:val="0"/>
          <w:sz w:val="24"/>
          <w:szCs w:val="24"/>
          <w:lang w:val="en-US"/>
        </w:rPr>
        <w:t xml:space="preserve"> Universities in the UK are governed by councils or boards of governors responsible for strategic oversight. These councils include external members from industry, academia, and the community, ensuring diverse input.</w:t>
      </w:r>
    </w:p>
    <w:p xmlns:wp14="http://schemas.microsoft.com/office/word/2010/wordml" w:rsidP="7F4F9DD8" wp14:paraId="22C5EBA9" wp14:textId="04FA4DD5">
      <w:pPr>
        <w:pStyle w:val="ListParagraph"/>
        <w:numPr>
          <w:ilvl w:val="0"/>
          <w:numId w:val="22"/>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Quality Assurance:</w:t>
      </w:r>
      <w:r w:rsidRPr="7F4F9DD8" w:rsidR="7F4F9DD8">
        <w:rPr>
          <w:rFonts w:ascii="Times New Roman" w:hAnsi="Times New Roman" w:eastAsia="Times New Roman" w:cs="Times New Roman"/>
          <w:noProof w:val="0"/>
          <w:sz w:val="24"/>
          <w:szCs w:val="24"/>
          <w:lang w:val="en-US"/>
        </w:rPr>
        <w:t xml:space="preserve"> The Quality Assurance Agency for Higher Education (QAA) sets standards and conducts periodic reviews. This external evaluation ensures accountability and continuous improvement.</w:t>
      </w:r>
    </w:p>
    <w:p xmlns:wp14="http://schemas.microsoft.com/office/word/2010/wordml" w:rsidP="7F4F9DD8" wp14:paraId="45930AD4" wp14:textId="1674B80C">
      <w:pPr>
        <w:pStyle w:val="ListParagraph"/>
        <w:numPr>
          <w:ilvl w:val="0"/>
          <w:numId w:val="22"/>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Public Funding and Autonomy:</w:t>
      </w:r>
      <w:r w:rsidRPr="7F4F9DD8" w:rsidR="7F4F9DD8">
        <w:rPr>
          <w:rFonts w:ascii="Times New Roman" w:hAnsi="Times New Roman" w:eastAsia="Times New Roman" w:cs="Times New Roman"/>
          <w:noProof w:val="0"/>
          <w:sz w:val="24"/>
          <w:szCs w:val="24"/>
          <w:lang w:val="en-US"/>
        </w:rPr>
        <w:t xml:space="preserve"> While public universities receive government funding, they enjoy considerable autonomy in academic and administrative matters. They are also encouraged to diversify their income sources through research and international students.</w:t>
      </w:r>
    </w:p>
    <w:p xmlns:wp14="http://schemas.microsoft.com/office/word/2010/wordml" w:rsidP="7F4F9DD8" wp14:paraId="621B41A2" wp14:textId="34E9722E">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Lessons for India:</w:t>
      </w:r>
    </w:p>
    <w:p xmlns:wp14="http://schemas.microsoft.com/office/word/2010/wordml" w:rsidP="7F4F9DD8" wp14:paraId="472A3BDB" wp14:textId="126A0464">
      <w:pPr>
        <w:pStyle w:val="ListParagraph"/>
        <w:numPr>
          <w:ilvl w:val="0"/>
          <w:numId w:val="23"/>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Establishing independent quality assurance agencies can enhance institutional accountability.</w:t>
      </w:r>
    </w:p>
    <w:p xmlns:wp14="http://schemas.microsoft.com/office/word/2010/wordml" w:rsidP="7F4F9DD8" wp14:paraId="0275811E" wp14:textId="07DCF8A5">
      <w:pPr>
        <w:pStyle w:val="ListParagraph"/>
        <w:numPr>
          <w:ilvl w:val="0"/>
          <w:numId w:val="23"/>
        </w:numPr>
        <w:spacing w:before="0" w:beforeAutospacing="off" w:after="0" w:afterAutospacing="off"/>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noProof w:val="0"/>
          <w:sz w:val="24"/>
          <w:szCs w:val="24"/>
          <w:lang w:val="en-US"/>
        </w:rPr>
        <w:t>Incorporating external members in governance bodies can provide fresh perspectives and improve decision-making.</w:t>
      </w:r>
    </w:p>
    <w:p xmlns:wp14="http://schemas.microsoft.com/office/word/2010/wordml" w:rsidP="7F4F9DD8" wp14:paraId="06312FD0" wp14:textId="6CD2DADA">
      <w:pPr>
        <w:spacing w:before="240" w:beforeAutospacing="off" w:after="240" w:afterAutospacing="off"/>
        <w:jc w:val="both"/>
      </w:pPr>
    </w:p>
    <w:p xmlns:wp14="http://schemas.microsoft.com/office/word/2010/wordml" w:rsidP="7F4F9DD8" wp14:paraId="7D785E63" wp14:textId="572B7EB6">
      <w:pPr>
        <w:pStyle w:val="Heading3"/>
        <w:spacing w:before="281" w:beforeAutospacing="off" w:after="281" w:afterAutospacing="off"/>
        <w:jc w:val="both"/>
        <w:rPr>
          <w:rFonts w:ascii="Times New Roman" w:hAnsi="Times New Roman" w:eastAsia="Times New Roman" w:cs="Times New Roman"/>
          <w:b w:val="1"/>
          <w:bCs w:val="1"/>
          <w:noProof w:val="0"/>
          <w:sz w:val="28"/>
          <w:szCs w:val="28"/>
          <w:lang w:val="en-US"/>
        </w:rPr>
      </w:pPr>
    </w:p>
    <w:p xmlns:wp14="http://schemas.microsoft.com/office/word/2010/wordml" w:rsidP="7F4F9DD8" wp14:paraId="2CBB86D6" wp14:textId="2990BCD4">
      <w:pPr>
        <w:spacing w:before="240" w:beforeAutospacing="off" w:after="240" w:afterAutospacing="off"/>
        <w:jc w:val="both"/>
      </w:pPr>
      <w:r w:rsidRPr="7F4F9DD8" w:rsidR="7F4F9DD8">
        <w:rPr>
          <w:rFonts w:ascii="Times New Roman" w:hAnsi="Times New Roman" w:eastAsia="Times New Roman" w:cs="Times New Roman"/>
          <w:noProof w:val="0"/>
          <w:sz w:val="24"/>
          <w:szCs w:val="24"/>
          <w:lang w:val="en-US"/>
        </w:rPr>
        <w:t xml:space="preserve">In general, it can be said </w:t>
      </w:r>
      <w:r w:rsidRPr="7F4F9DD8" w:rsidR="7F4F9DD8">
        <w:rPr>
          <w:rFonts w:ascii="Times New Roman" w:hAnsi="Times New Roman" w:eastAsia="Times New Roman" w:cs="Times New Roman"/>
          <w:noProof w:val="0"/>
          <w:sz w:val="24"/>
          <w:szCs w:val="24"/>
          <w:lang w:val="en-US"/>
        </w:rPr>
        <w:t>that th</w:t>
      </w:r>
      <w:r w:rsidRPr="7F4F9DD8" w:rsidR="7F4F9DD8">
        <w:rPr>
          <w:rFonts w:ascii="Times New Roman" w:hAnsi="Times New Roman" w:eastAsia="Times New Roman" w:cs="Times New Roman"/>
          <w:noProof w:val="0"/>
          <w:sz w:val="24"/>
          <w:szCs w:val="24"/>
          <w:lang w:val="en-US"/>
        </w:rPr>
        <w:t xml:space="preserve">e governance models in Indian HEIs, particularly in institutions like IITs and leading private universities, reflect a mix of autonomy and regulation. While these institutions have made significant strides, they can </w:t>
      </w:r>
      <w:r w:rsidRPr="7F4F9DD8" w:rsidR="7F4F9DD8">
        <w:rPr>
          <w:rFonts w:ascii="Times New Roman" w:hAnsi="Times New Roman" w:eastAsia="Times New Roman" w:cs="Times New Roman"/>
          <w:noProof w:val="0"/>
          <w:sz w:val="24"/>
          <w:szCs w:val="24"/>
          <w:lang w:val="en-US"/>
        </w:rPr>
        <w:t>benefit</w:t>
      </w:r>
      <w:r w:rsidRPr="7F4F9DD8" w:rsidR="7F4F9DD8">
        <w:rPr>
          <w:rFonts w:ascii="Times New Roman" w:hAnsi="Times New Roman" w:eastAsia="Times New Roman" w:cs="Times New Roman"/>
          <w:noProof w:val="0"/>
          <w:sz w:val="24"/>
          <w:szCs w:val="24"/>
          <w:lang w:val="en-US"/>
        </w:rPr>
        <w:t xml:space="preserve"> from adopting global best practices, such as shared governance, diversified funding, and rigorous quality assurance mechanisms. By learning from the governance structures of countries like the US and the UK, Indian HEIs can create a more transparent, accountable, and innovative higher education system, better equipped to meet the challenges of the 21st century.</w:t>
      </w:r>
    </w:p>
    <w:p w:rsidR="7F4F9DD8" w:rsidP="7F4F9DD8" w:rsidRDefault="7F4F9DD8" w14:paraId="60AFDABD" w14:textId="013DF07B">
      <w:pPr>
        <w:pStyle w:val="Heading3"/>
        <w:spacing w:before="281" w:beforeAutospacing="off" w:after="281" w:afterAutospacing="off"/>
        <w:jc w:val="both"/>
        <w:rPr>
          <w:rFonts w:ascii="Times New Roman" w:hAnsi="Times New Roman" w:eastAsia="Times New Roman" w:cs="Times New Roman"/>
          <w:b w:val="1"/>
          <w:bCs w:val="1"/>
          <w:noProof w:val="0"/>
          <w:sz w:val="28"/>
          <w:szCs w:val="28"/>
          <w:lang w:val="en-US"/>
        </w:rPr>
      </w:pPr>
    </w:p>
    <w:p w:rsidR="7F4F9DD8" w:rsidP="7F4F9DD8" w:rsidRDefault="7F4F9DD8" w14:paraId="5D33BD2B" w14:textId="32890BA0">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Conclusion:</w:t>
      </w:r>
    </w:p>
    <w:p w:rsidR="7F4F9DD8" w:rsidP="7F4F9DD8" w:rsidRDefault="7F4F9DD8" w14:paraId="549EAE35" w14:textId="71C5AAA8">
      <w:pPr>
        <w:spacing w:before="240" w:beforeAutospacing="off" w:after="240" w:afterAutospacing="off"/>
        <w:jc w:val="both"/>
      </w:pPr>
      <w:r w:rsidRPr="7F4F9DD8" w:rsidR="7F4F9DD8">
        <w:rPr>
          <w:rFonts w:ascii="Times New Roman" w:hAnsi="Times New Roman" w:eastAsia="Times New Roman" w:cs="Times New Roman"/>
          <w:noProof w:val="0"/>
          <w:sz w:val="24"/>
          <w:szCs w:val="24"/>
          <w:lang w:val="en-US"/>
        </w:rPr>
        <w:t xml:space="preserve">This research on the governance of Higher Education Institutions (HEIs) in India—tracing its past, analyzing the present, and envisioning the future—reveals the critical role governance plays in shaping the quality and efficacy of higher education. Indian HEIs have undergone significant transformation, evolving from a colonial system rooted in bureaucratic control to a diverse landscape encompassing public, private, and autonomous institutions. While historical milestones, such as the establishment of the University Grants Commission (UGC) and reforms of the 1980s and 1990s, have set foundational structures, the sector continues to face </w:t>
      </w:r>
      <w:r w:rsidRPr="7F4F9DD8" w:rsidR="7F4F9DD8">
        <w:rPr>
          <w:rFonts w:ascii="Times New Roman" w:hAnsi="Times New Roman" w:eastAsia="Times New Roman" w:cs="Times New Roman"/>
          <w:noProof w:val="0"/>
          <w:sz w:val="24"/>
          <w:szCs w:val="24"/>
          <w:lang w:val="en-US"/>
        </w:rPr>
        <w:t>numerous</w:t>
      </w:r>
      <w:r w:rsidRPr="7F4F9DD8" w:rsidR="7F4F9DD8">
        <w:rPr>
          <w:rFonts w:ascii="Times New Roman" w:hAnsi="Times New Roman" w:eastAsia="Times New Roman" w:cs="Times New Roman"/>
          <w:noProof w:val="0"/>
          <w:sz w:val="24"/>
          <w:szCs w:val="24"/>
          <w:lang w:val="en-US"/>
        </w:rPr>
        <w:t xml:space="preserve"> challenges in the contemporary era.</w:t>
      </w:r>
    </w:p>
    <w:p w:rsidR="7F4F9DD8" w:rsidP="7F4F9DD8" w:rsidRDefault="7F4F9DD8" w14:paraId="2A57F61C" w14:textId="3A247923">
      <w:pPr>
        <w:spacing w:before="240" w:beforeAutospacing="off" w:after="240" w:afterAutospacing="off"/>
        <w:jc w:val="both"/>
      </w:pPr>
      <w:r w:rsidRPr="7F4F9DD8" w:rsidR="7F4F9DD8">
        <w:rPr>
          <w:rFonts w:ascii="Times New Roman" w:hAnsi="Times New Roman" w:eastAsia="Times New Roman" w:cs="Times New Roman"/>
          <w:noProof w:val="0"/>
          <w:sz w:val="24"/>
          <w:szCs w:val="24"/>
          <w:lang w:val="en-US"/>
        </w:rPr>
        <w:t>Key findings highlight a complex governance ecosystem characterized by overlapping regulatory bodies, bureaucratic inefficiencies, and inconsistent standards. Institutions such as the Indian Institutes of Technology (IITs) and private universities exhibit pockets of excellence due to their autonomy and innovative governance practices. However, issues like funding constraints, quality assurance gaps, and corruption persist, hindering the overall development of the sector. The National Education Policy (NEP) 2020 presents a vision for transformative change, emphasizing decentralization, transparency, and academic freedom. Yet, its implementation faces structural and cultural challenges.</w:t>
      </w:r>
    </w:p>
    <w:p w:rsidR="7F4F9DD8" w:rsidP="7F4F9DD8" w:rsidRDefault="7F4F9DD8" w14:paraId="7D8B2055" w14:textId="5943E04C">
      <w:pPr>
        <w:spacing w:before="240" w:beforeAutospacing="off" w:after="240" w:afterAutospacing="off"/>
        <w:jc w:val="both"/>
      </w:pPr>
      <w:r w:rsidRPr="7F4F9DD8" w:rsidR="7F4F9DD8">
        <w:rPr>
          <w:rFonts w:ascii="Times New Roman" w:hAnsi="Times New Roman" w:eastAsia="Times New Roman" w:cs="Times New Roman"/>
          <w:noProof w:val="0"/>
          <w:sz w:val="24"/>
          <w:szCs w:val="24"/>
          <w:lang w:val="en-US"/>
        </w:rPr>
        <w:t>A comparison with global models, particularly those from the United States and the United Kingdom, underscores the importance of institutional autonomy, shared governance, and outcome-based evaluations. These best practices offer valuable lessons for India to modernize its governance frameworks and enhance competitiveness on the global stage.</w:t>
      </w:r>
    </w:p>
    <w:p w:rsidR="7F4F9DD8" w:rsidP="7F4F9DD8" w:rsidRDefault="7F4F9DD8" w14:paraId="7BA6F88C" w14:textId="550941F0">
      <w:pPr>
        <w:jc w:val="both"/>
      </w:pPr>
    </w:p>
    <w:p w:rsidR="7F4F9DD8" w:rsidP="5811D63D" w:rsidRDefault="7F4F9DD8" w14:paraId="6F37D425" w14:textId="54574A86">
      <w:pPr>
        <w:pStyle w:val="Heading3"/>
        <w:spacing w:before="281" w:beforeAutospacing="off" w:after="281" w:afterAutospacing="off"/>
        <w:jc w:val="both"/>
        <w:rPr>
          <w:rFonts w:ascii="Times New Roman" w:hAnsi="Times New Roman" w:eastAsia="Times New Roman" w:cs="Times New Roman"/>
          <w:b w:val="0"/>
          <w:bCs w:val="0"/>
          <w:noProof w:val="0"/>
          <w:color w:val="auto"/>
          <w:sz w:val="24"/>
          <w:szCs w:val="24"/>
          <w:lang w:val="en-US"/>
        </w:rPr>
      </w:pPr>
      <w:r w:rsidRPr="5811D63D" w:rsidR="5811D63D">
        <w:rPr>
          <w:rFonts w:ascii="Times New Roman" w:hAnsi="Times New Roman" w:eastAsia="Times New Roman" w:cs="Times New Roman"/>
          <w:b w:val="0"/>
          <w:bCs w:val="0"/>
          <w:noProof w:val="0"/>
          <w:color w:val="auto"/>
          <w:sz w:val="24"/>
          <w:szCs w:val="24"/>
          <w:lang w:val="en-US"/>
        </w:rPr>
        <w:t>Policy Recommendations for Sustainable Governance</w:t>
      </w:r>
    </w:p>
    <w:p w:rsidR="7F4F9DD8" w:rsidP="7F4F9DD8" w:rsidRDefault="7F4F9DD8" w14:paraId="39A95CD7" w14:textId="420B117C">
      <w:pPr>
        <w:spacing w:before="240" w:beforeAutospacing="off" w:after="240" w:afterAutospacing="off"/>
        <w:jc w:val="both"/>
        <w:rPr>
          <w:rFonts w:ascii="Times New Roman" w:hAnsi="Times New Roman" w:eastAsia="Times New Roman" w:cs="Times New Roman"/>
          <w:b w:val="0"/>
          <w:bCs w:val="0"/>
          <w:noProof w:val="0"/>
          <w:sz w:val="24"/>
          <w:szCs w:val="24"/>
          <w:lang w:val="en-US"/>
        </w:rPr>
      </w:pPr>
      <w:r w:rsidRPr="7F4F9DD8" w:rsidR="7F4F9DD8">
        <w:rPr>
          <w:rFonts w:ascii="Times New Roman" w:hAnsi="Times New Roman" w:eastAsia="Times New Roman" w:cs="Times New Roman"/>
          <w:b w:val="0"/>
          <w:bCs w:val="0"/>
          <w:noProof w:val="0"/>
          <w:sz w:val="24"/>
          <w:szCs w:val="24"/>
          <w:lang w:val="en-US"/>
        </w:rPr>
        <w:t xml:space="preserve">1. </w:t>
      </w:r>
      <w:r w:rsidRPr="7F4F9DD8" w:rsidR="7F4F9DD8">
        <w:rPr>
          <w:rFonts w:ascii="Times New Roman" w:hAnsi="Times New Roman" w:eastAsia="Times New Roman" w:cs="Times New Roman"/>
          <w:b w:val="0"/>
          <w:bCs w:val="0"/>
          <w:noProof w:val="0"/>
          <w:sz w:val="24"/>
          <w:szCs w:val="24"/>
          <w:lang w:val="en-US"/>
        </w:rPr>
        <w:t>Establish</w:t>
      </w:r>
      <w:r w:rsidRPr="7F4F9DD8" w:rsidR="7F4F9DD8">
        <w:rPr>
          <w:rFonts w:ascii="Times New Roman" w:hAnsi="Times New Roman" w:eastAsia="Times New Roman" w:cs="Times New Roman"/>
          <w:b w:val="0"/>
          <w:bCs w:val="0"/>
          <w:noProof w:val="0"/>
          <w:sz w:val="24"/>
          <w:szCs w:val="24"/>
          <w:lang w:val="en-US"/>
        </w:rPr>
        <w:t xml:space="preserve"> a Unified Regulatory Framework:</w:t>
      </w:r>
    </w:p>
    <w:p w:rsidR="7F4F9DD8" w:rsidP="7F4F9DD8" w:rsidRDefault="7F4F9DD8" w14:paraId="00D84154" w14:textId="6F021836">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Simplification and Coordination:</w:t>
      </w:r>
      <w:r w:rsidRPr="7F4F9DD8" w:rsidR="7F4F9DD8">
        <w:rPr>
          <w:rFonts w:ascii="Times New Roman" w:hAnsi="Times New Roman" w:eastAsia="Times New Roman" w:cs="Times New Roman"/>
          <w:noProof w:val="0"/>
          <w:sz w:val="24"/>
          <w:szCs w:val="24"/>
          <w:lang w:val="en-US"/>
        </w:rPr>
        <w:t xml:space="preserve"> Streamline regulatory bodies into a single, autonomous council, such as the proposed National Higher Education Regulatory Council (NHERC), to </w:t>
      </w:r>
      <w:r w:rsidRPr="7F4F9DD8" w:rsidR="7F4F9DD8">
        <w:rPr>
          <w:rFonts w:ascii="Times New Roman" w:hAnsi="Times New Roman" w:eastAsia="Times New Roman" w:cs="Times New Roman"/>
          <w:noProof w:val="0"/>
          <w:sz w:val="24"/>
          <w:szCs w:val="24"/>
          <w:lang w:val="en-US"/>
        </w:rPr>
        <w:t>eliminate</w:t>
      </w:r>
      <w:r w:rsidRPr="7F4F9DD8" w:rsidR="7F4F9DD8">
        <w:rPr>
          <w:rFonts w:ascii="Times New Roman" w:hAnsi="Times New Roman" w:eastAsia="Times New Roman" w:cs="Times New Roman"/>
          <w:noProof w:val="0"/>
          <w:sz w:val="24"/>
          <w:szCs w:val="24"/>
          <w:lang w:val="en-US"/>
        </w:rPr>
        <w:t xml:space="preserve"> redundancy and enhance coordination. This body should oversee standards while allowing institutions operational freedom.</w:t>
      </w:r>
    </w:p>
    <w:p w:rsidR="7F4F9DD8" w:rsidP="7F4F9DD8" w:rsidRDefault="7F4F9DD8" w14:paraId="46D7D88F" w14:textId="2679D1B4">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Transparent Accreditation:</w:t>
      </w:r>
      <w:r w:rsidRPr="7F4F9DD8" w:rsidR="7F4F9DD8">
        <w:rPr>
          <w:rFonts w:ascii="Times New Roman" w:hAnsi="Times New Roman" w:eastAsia="Times New Roman" w:cs="Times New Roman"/>
          <w:noProof w:val="0"/>
          <w:sz w:val="24"/>
          <w:szCs w:val="24"/>
          <w:lang w:val="en-US"/>
        </w:rPr>
        <w:t xml:space="preserve"> Develop independent accreditation agencies to ensure rigorous, unbiased evaluation processes. Establishing region-specific bodies could address diverse educational needs across the country.</w:t>
      </w:r>
    </w:p>
    <w:p w:rsidR="7F4F9DD8" w:rsidP="7F4F9DD8" w:rsidRDefault="7F4F9DD8" w14:paraId="78BC54FC" w14:textId="42B03D12">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2. Enhance Institutional Autonomy with Accountability:</w:t>
      </w:r>
    </w:p>
    <w:p w:rsidR="7F4F9DD8" w:rsidP="7F4F9DD8" w:rsidRDefault="7F4F9DD8" w14:paraId="1BE8043F" w14:textId="4A65E2D7">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Devolution of Powers:</w:t>
      </w:r>
      <w:r w:rsidRPr="7F4F9DD8" w:rsidR="7F4F9DD8">
        <w:rPr>
          <w:rFonts w:ascii="Times New Roman" w:hAnsi="Times New Roman" w:eastAsia="Times New Roman" w:cs="Times New Roman"/>
          <w:noProof w:val="0"/>
          <w:sz w:val="24"/>
          <w:szCs w:val="24"/>
          <w:lang w:val="en-US"/>
        </w:rPr>
        <w:t xml:space="preserve"> Grant HEIs greater autonomy in academic and administrative decisions, particularly in curriculum design, faculty recruitment, and </w:t>
      </w:r>
      <w:r w:rsidRPr="7F4F9DD8" w:rsidR="7F4F9DD8">
        <w:rPr>
          <w:rFonts w:ascii="Times New Roman" w:hAnsi="Times New Roman" w:eastAsia="Times New Roman" w:cs="Times New Roman"/>
          <w:noProof w:val="0"/>
          <w:sz w:val="24"/>
          <w:szCs w:val="24"/>
          <w:lang w:val="en-US"/>
        </w:rPr>
        <w:t>financial management</w:t>
      </w:r>
      <w:r w:rsidRPr="7F4F9DD8" w:rsidR="7F4F9DD8">
        <w:rPr>
          <w:rFonts w:ascii="Times New Roman" w:hAnsi="Times New Roman" w:eastAsia="Times New Roman" w:cs="Times New Roman"/>
          <w:noProof w:val="0"/>
          <w:sz w:val="24"/>
          <w:szCs w:val="24"/>
          <w:lang w:val="en-US"/>
        </w:rPr>
        <w:t>. This autonomy should be contingent upon regular performance audits and transparent reporting.</w:t>
      </w:r>
    </w:p>
    <w:p w:rsidR="7F4F9DD8" w:rsidP="7F4F9DD8" w:rsidRDefault="7F4F9DD8" w14:paraId="3A014404" w14:textId="272C470A">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Performance-Based Funding:</w:t>
      </w:r>
      <w:r w:rsidRPr="7F4F9DD8" w:rsidR="7F4F9DD8">
        <w:rPr>
          <w:rFonts w:ascii="Times New Roman" w:hAnsi="Times New Roman" w:eastAsia="Times New Roman" w:cs="Times New Roman"/>
          <w:noProof w:val="0"/>
          <w:sz w:val="24"/>
          <w:szCs w:val="24"/>
          <w:lang w:val="en-US"/>
        </w:rPr>
        <w:t xml:space="preserve"> Introduce performance-linked grants to encourage institutions to improve their academic outcomes, research output, and employability rates. This would reduce reliance on state funding while incentivizing excellence.</w:t>
      </w:r>
    </w:p>
    <w:p w:rsidR="7F4F9DD8" w:rsidP="7F4F9DD8" w:rsidRDefault="7F4F9DD8" w14:paraId="5728C3E8" w14:textId="042BF9C3">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3. Strengthen Governance Structures:</w:t>
      </w:r>
    </w:p>
    <w:p w:rsidR="7F4F9DD8" w:rsidP="7F4F9DD8" w:rsidRDefault="7F4F9DD8" w14:paraId="4891C66F" w14:textId="1B141616">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0C61C7D9" w:rsidR="740FD902">
        <w:rPr>
          <w:rFonts w:ascii="Times New Roman" w:hAnsi="Times New Roman" w:eastAsia="Times New Roman" w:cs="Times New Roman"/>
          <w:b w:val="1"/>
          <w:bCs w:val="1"/>
          <w:noProof w:val="0"/>
          <w:sz w:val="24"/>
          <w:szCs w:val="24"/>
          <w:lang w:val="en-US"/>
        </w:rPr>
        <w:t>Inclusive Governing Bodies:</w:t>
      </w:r>
      <w:r w:rsidRPr="0C61C7D9" w:rsidR="740FD902">
        <w:rPr>
          <w:rFonts w:ascii="Times New Roman" w:hAnsi="Times New Roman" w:eastAsia="Times New Roman" w:cs="Times New Roman"/>
          <w:noProof w:val="0"/>
          <w:sz w:val="24"/>
          <w:szCs w:val="24"/>
          <w:lang w:val="en-US"/>
        </w:rPr>
        <w:t xml:space="preserve"> Ensure that university governing councils include diverse stakeholders</w:t>
      </w:r>
      <w:r w:rsidRPr="0C61C7D9" w:rsidR="65EDF43B">
        <w:rPr>
          <w:rFonts w:ascii="Times New Roman" w:hAnsi="Times New Roman" w:eastAsia="Times New Roman" w:cs="Times New Roman"/>
          <w:noProof w:val="0"/>
          <w:sz w:val="24"/>
          <w:szCs w:val="24"/>
          <w:lang w:val="en-US"/>
        </w:rPr>
        <w:t>-</w:t>
      </w:r>
      <w:r w:rsidRPr="0C61C7D9" w:rsidR="740FD902">
        <w:rPr>
          <w:rFonts w:ascii="Times New Roman" w:hAnsi="Times New Roman" w:eastAsia="Times New Roman" w:cs="Times New Roman"/>
          <w:noProof w:val="0"/>
          <w:sz w:val="24"/>
          <w:szCs w:val="24"/>
          <w:lang w:val="en-US"/>
        </w:rPr>
        <w:t>industry experts, alumni, students, and community representatives</w:t>
      </w:r>
      <w:r w:rsidRPr="0C61C7D9" w:rsidR="795FB5A5">
        <w:rPr>
          <w:rFonts w:ascii="Times New Roman" w:hAnsi="Times New Roman" w:eastAsia="Times New Roman" w:cs="Times New Roman"/>
          <w:noProof w:val="0"/>
          <w:sz w:val="24"/>
          <w:szCs w:val="24"/>
          <w:lang w:val="en-US"/>
        </w:rPr>
        <w:t xml:space="preserve"> </w:t>
      </w:r>
      <w:r w:rsidRPr="0C61C7D9" w:rsidR="740FD902">
        <w:rPr>
          <w:rFonts w:ascii="Times New Roman" w:hAnsi="Times New Roman" w:eastAsia="Times New Roman" w:cs="Times New Roman"/>
          <w:noProof w:val="0"/>
          <w:sz w:val="24"/>
          <w:szCs w:val="24"/>
          <w:lang w:val="en-US"/>
        </w:rPr>
        <w:t>to bring varied perspectives and enhance decision-making.</w:t>
      </w:r>
    </w:p>
    <w:p w:rsidR="7F4F9DD8" w:rsidP="7F4F9DD8" w:rsidRDefault="7F4F9DD8" w14:paraId="437F8D5C" w14:textId="2B0F0C9C">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Shared Governance Models:</w:t>
      </w:r>
      <w:r w:rsidRPr="7F4F9DD8" w:rsidR="7F4F9DD8">
        <w:rPr>
          <w:rFonts w:ascii="Times New Roman" w:hAnsi="Times New Roman" w:eastAsia="Times New Roman" w:cs="Times New Roman"/>
          <w:noProof w:val="0"/>
          <w:sz w:val="24"/>
          <w:szCs w:val="24"/>
          <w:lang w:val="en-US"/>
        </w:rPr>
        <w:t xml:space="preserve"> Promote shared governance by involving faculty and staff in decision-making processes through academic councils and faculty senates. This participatory approach fosters accountability and ensures that policies are academically sound.</w:t>
      </w:r>
    </w:p>
    <w:p w:rsidR="7F4F9DD8" w:rsidP="7F4F9DD8" w:rsidRDefault="7F4F9DD8" w14:paraId="50977197" w14:textId="36E834A4">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4. Leverage Technology for Transparent Governance:</w:t>
      </w:r>
    </w:p>
    <w:p w:rsidR="7F4F9DD8" w:rsidP="7F4F9DD8" w:rsidRDefault="7F4F9DD8" w14:paraId="61F4DFB5" w14:textId="2C8EA8A0">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Digital Platforms for E-Governance:</w:t>
      </w:r>
      <w:r w:rsidRPr="7F4F9DD8" w:rsidR="7F4F9DD8">
        <w:rPr>
          <w:rFonts w:ascii="Times New Roman" w:hAnsi="Times New Roman" w:eastAsia="Times New Roman" w:cs="Times New Roman"/>
          <w:noProof w:val="0"/>
          <w:sz w:val="24"/>
          <w:szCs w:val="24"/>
          <w:lang w:val="en-US"/>
        </w:rPr>
        <w:t xml:space="preserve"> Implement comprehensive digital governance systems to manage admissions, examinations, faculty evaluations, and financial reporting. These platforms should ensure real-time data access for stakeholders and </w:t>
      </w:r>
      <w:r w:rsidRPr="7F4F9DD8" w:rsidR="7F4F9DD8">
        <w:rPr>
          <w:rFonts w:ascii="Times New Roman" w:hAnsi="Times New Roman" w:eastAsia="Times New Roman" w:cs="Times New Roman"/>
          <w:noProof w:val="0"/>
          <w:sz w:val="24"/>
          <w:szCs w:val="24"/>
          <w:lang w:val="en-US"/>
        </w:rPr>
        <w:t>facilitate</w:t>
      </w:r>
      <w:r w:rsidRPr="7F4F9DD8" w:rsidR="7F4F9DD8">
        <w:rPr>
          <w:rFonts w:ascii="Times New Roman" w:hAnsi="Times New Roman" w:eastAsia="Times New Roman" w:cs="Times New Roman"/>
          <w:noProof w:val="0"/>
          <w:sz w:val="24"/>
          <w:szCs w:val="24"/>
          <w:lang w:val="en-US"/>
        </w:rPr>
        <w:t xml:space="preserve"> better monitoring.</w:t>
      </w:r>
    </w:p>
    <w:p w:rsidR="7F4F9DD8" w:rsidP="7F4F9DD8" w:rsidRDefault="7F4F9DD8" w14:paraId="4667D0E5" w14:textId="57FD72B2">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Blockchain for Record-Keeping:</w:t>
      </w:r>
      <w:r w:rsidRPr="7F4F9DD8" w:rsidR="7F4F9DD8">
        <w:rPr>
          <w:rFonts w:ascii="Times New Roman" w:hAnsi="Times New Roman" w:eastAsia="Times New Roman" w:cs="Times New Roman"/>
          <w:noProof w:val="0"/>
          <w:sz w:val="24"/>
          <w:szCs w:val="24"/>
          <w:lang w:val="en-US"/>
        </w:rPr>
        <w:t xml:space="preserve"> Utilize blockchain technology to securely manage academic records and administrative processes, enhancing transparency and reducing corruption risks.</w:t>
      </w:r>
    </w:p>
    <w:p w:rsidR="7F4F9DD8" w:rsidP="7F4F9DD8" w:rsidRDefault="7F4F9DD8" w14:paraId="2BFC2739" w14:textId="74F1F89D">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5. Ensure Quality through Continuous Evaluation:</w:t>
      </w:r>
    </w:p>
    <w:p w:rsidR="7F4F9DD8" w:rsidP="7F4F9DD8" w:rsidRDefault="7F4F9DD8" w14:paraId="5370BF5C" w14:textId="46181A78">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Outcome-Based Assessment:</w:t>
      </w:r>
      <w:r w:rsidRPr="7F4F9DD8" w:rsidR="7F4F9DD8">
        <w:rPr>
          <w:rFonts w:ascii="Times New Roman" w:hAnsi="Times New Roman" w:eastAsia="Times New Roman" w:cs="Times New Roman"/>
          <w:noProof w:val="0"/>
          <w:sz w:val="24"/>
          <w:szCs w:val="24"/>
          <w:lang w:val="en-US"/>
        </w:rPr>
        <w:t xml:space="preserve"> Shift from input-based metrics (such as infrastructure and enrollment numbers) to outcome-based evaluations, focusing on graduate competencies, research quality, and societal impact.</w:t>
      </w:r>
    </w:p>
    <w:p w:rsidR="7F4F9DD8" w:rsidP="7F4F9DD8" w:rsidRDefault="7F4F9DD8" w14:paraId="6DC87FE9" w14:textId="39D462B6">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Peer Review Systems:</w:t>
      </w:r>
      <w:r w:rsidRPr="7F4F9DD8" w:rsidR="7F4F9DD8">
        <w:rPr>
          <w:rFonts w:ascii="Times New Roman" w:hAnsi="Times New Roman" w:eastAsia="Times New Roman" w:cs="Times New Roman"/>
          <w:noProof w:val="0"/>
          <w:sz w:val="24"/>
          <w:szCs w:val="24"/>
          <w:lang w:val="en-US"/>
        </w:rPr>
        <w:t xml:space="preserve"> Implement regular peer reviews by independent panels to assess institutional performance, offering constructive feedback and </w:t>
      </w:r>
      <w:r w:rsidRPr="7F4F9DD8" w:rsidR="7F4F9DD8">
        <w:rPr>
          <w:rFonts w:ascii="Times New Roman" w:hAnsi="Times New Roman" w:eastAsia="Times New Roman" w:cs="Times New Roman"/>
          <w:noProof w:val="0"/>
          <w:sz w:val="24"/>
          <w:szCs w:val="24"/>
          <w:lang w:val="en-US"/>
        </w:rPr>
        <w:t>identifying</w:t>
      </w:r>
      <w:r w:rsidRPr="7F4F9DD8" w:rsidR="7F4F9DD8">
        <w:rPr>
          <w:rFonts w:ascii="Times New Roman" w:hAnsi="Times New Roman" w:eastAsia="Times New Roman" w:cs="Times New Roman"/>
          <w:noProof w:val="0"/>
          <w:sz w:val="24"/>
          <w:szCs w:val="24"/>
          <w:lang w:val="en-US"/>
        </w:rPr>
        <w:t xml:space="preserve"> areas for improvement.</w:t>
      </w:r>
    </w:p>
    <w:p w:rsidR="7F4F9DD8" w:rsidP="7F4F9DD8" w:rsidRDefault="7F4F9DD8" w14:paraId="0D765814" w14:textId="73FC7A5A">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6. Foster Industry-Academia Collaboration:</w:t>
      </w:r>
    </w:p>
    <w:p w:rsidR="7F4F9DD8" w:rsidP="7F4F9DD8" w:rsidRDefault="7F4F9DD8" w14:paraId="07F62E0F" w14:textId="4E6DA9A6">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Curriculum Development:</w:t>
      </w:r>
      <w:r w:rsidRPr="7F4F9DD8" w:rsidR="7F4F9DD8">
        <w:rPr>
          <w:rFonts w:ascii="Times New Roman" w:hAnsi="Times New Roman" w:eastAsia="Times New Roman" w:cs="Times New Roman"/>
          <w:noProof w:val="0"/>
          <w:sz w:val="24"/>
          <w:szCs w:val="24"/>
          <w:lang w:val="en-US"/>
        </w:rPr>
        <w:t xml:space="preserve"> Engage industry partners in designing curricula and training programs to ensure relevance to the job market. Such collaborations can also </w:t>
      </w:r>
      <w:r w:rsidRPr="7F4F9DD8" w:rsidR="7F4F9DD8">
        <w:rPr>
          <w:rFonts w:ascii="Times New Roman" w:hAnsi="Times New Roman" w:eastAsia="Times New Roman" w:cs="Times New Roman"/>
          <w:noProof w:val="0"/>
          <w:sz w:val="24"/>
          <w:szCs w:val="24"/>
          <w:lang w:val="en-US"/>
        </w:rPr>
        <w:t>facilitate</w:t>
      </w:r>
      <w:r w:rsidRPr="7F4F9DD8" w:rsidR="7F4F9DD8">
        <w:rPr>
          <w:rFonts w:ascii="Times New Roman" w:hAnsi="Times New Roman" w:eastAsia="Times New Roman" w:cs="Times New Roman"/>
          <w:noProof w:val="0"/>
          <w:sz w:val="24"/>
          <w:szCs w:val="24"/>
          <w:lang w:val="en-US"/>
        </w:rPr>
        <w:t xml:space="preserve"> internships and research projects.</w:t>
      </w:r>
    </w:p>
    <w:p w:rsidR="7F4F9DD8" w:rsidP="7F4F9DD8" w:rsidRDefault="7F4F9DD8" w14:paraId="203517FF" w14:textId="3CBC2021">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Research Partnerships:</w:t>
      </w:r>
      <w:r w:rsidRPr="7F4F9DD8" w:rsidR="7F4F9DD8">
        <w:rPr>
          <w:rFonts w:ascii="Times New Roman" w:hAnsi="Times New Roman" w:eastAsia="Times New Roman" w:cs="Times New Roman"/>
          <w:noProof w:val="0"/>
          <w:sz w:val="24"/>
          <w:szCs w:val="24"/>
          <w:lang w:val="en-US"/>
        </w:rPr>
        <w:t xml:space="preserve"> Encourage joint research initiatives between universities and industries, </w:t>
      </w:r>
      <w:r w:rsidRPr="7F4F9DD8" w:rsidR="7F4F9DD8">
        <w:rPr>
          <w:rFonts w:ascii="Times New Roman" w:hAnsi="Times New Roman" w:eastAsia="Times New Roman" w:cs="Times New Roman"/>
          <w:noProof w:val="0"/>
          <w:sz w:val="24"/>
          <w:szCs w:val="24"/>
          <w:lang w:val="en-US"/>
        </w:rPr>
        <w:t>providing</w:t>
      </w:r>
      <w:r w:rsidRPr="7F4F9DD8" w:rsidR="7F4F9DD8">
        <w:rPr>
          <w:rFonts w:ascii="Times New Roman" w:hAnsi="Times New Roman" w:eastAsia="Times New Roman" w:cs="Times New Roman"/>
          <w:noProof w:val="0"/>
          <w:sz w:val="24"/>
          <w:szCs w:val="24"/>
          <w:lang w:val="en-US"/>
        </w:rPr>
        <w:t xml:space="preserve"> funding incentives and </w:t>
      </w:r>
      <w:r w:rsidRPr="7F4F9DD8" w:rsidR="7F4F9DD8">
        <w:rPr>
          <w:rFonts w:ascii="Times New Roman" w:hAnsi="Times New Roman" w:eastAsia="Times New Roman" w:cs="Times New Roman"/>
          <w:noProof w:val="0"/>
          <w:sz w:val="24"/>
          <w:szCs w:val="24"/>
          <w:lang w:val="en-US"/>
        </w:rPr>
        <w:t>creating</w:t>
      </w:r>
      <w:r w:rsidRPr="7F4F9DD8" w:rsidR="7F4F9DD8">
        <w:rPr>
          <w:rFonts w:ascii="Times New Roman" w:hAnsi="Times New Roman" w:eastAsia="Times New Roman" w:cs="Times New Roman"/>
          <w:noProof w:val="0"/>
          <w:sz w:val="24"/>
          <w:szCs w:val="24"/>
          <w:lang w:val="en-US"/>
        </w:rPr>
        <w:t xml:space="preserve"> innovation hubs on campuses.</w:t>
      </w:r>
    </w:p>
    <w:p w:rsidR="7F4F9DD8" w:rsidP="7F4F9DD8" w:rsidRDefault="7F4F9DD8" w14:paraId="54A6F320" w14:textId="584DE317">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7. Promote Internationalization and Benchmarking:</w:t>
      </w:r>
    </w:p>
    <w:p w:rsidR="7F4F9DD8" w:rsidP="7F4F9DD8" w:rsidRDefault="7F4F9DD8" w14:paraId="3F6303EA" w14:textId="33FCB9C2">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Global Partnerships:</w:t>
      </w:r>
      <w:r w:rsidRPr="7F4F9DD8" w:rsidR="7F4F9DD8">
        <w:rPr>
          <w:rFonts w:ascii="Times New Roman" w:hAnsi="Times New Roman" w:eastAsia="Times New Roman" w:cs="Times New Roman"/>
          <w:noProof w:val="0"/>
          <w:sz w:val="24"/>
          <w:szCs w:val="24"/>
          <w:lang w:val="en-US"/>
        </w:rPr>
        <w:t xml:space="preserve"> </w:t>
      </w:r>
      <w:r w:rsidRPr="7F4F9DD8" w:rsidR="7F4F9DD8">
        <w:rPr>
          <w:rFonts w:ascii="Times New Roman" w:hAnsi="Times New Roman" w:eastAsia="Times New Roman" w:cs="Times New Roman"/>
          <w:noProof w:val="0"/>
          <w:sz w:val="24"/>
          <w:szCs w:val="24"/>
          <w:lang w:val="en-US"/>
        </w:rPr>
        <w:t>Facilitate</w:t>
      </w:r>
      <w:r w:rsidRPr="7F4F9DD8" w:rsidR="7F4F9DD8">
        <w:rPr>
          <w:rFonts w:ascii="Times New Roman" w:hAnsi="Times New Roman" w:eastAsia="Times New Roman" w:cs="Times New Roman"/>
          <w:noProof w:val="0"/>
          <w:sz w:val="24"/>
          <w:szCs w:val="24"/>
          <w:lang w:val="en-US"/>
        </w:rPr>
        <w:t xml:space="preserve"> partnerships with </w:t>
      </w:r>
      <w:r w:rsidRPr="7F4F9DD8" w:rsidR="7F4F9DD8">
        <w:rPr>
          <w:rFonts w:ascii="Times New Roman" w:hAnsi="Times New Roman" w:eastAsia="Times New Roman" w:cs="Times New Roman"/>
          <w:noProof w:val="0"/>
          <w:sz w:val="24"/>
          <w:szCs w:val="24"/>
          <w:lang w:val="en-US"/>
        </w:rPr>
        <w:t>reputed</w:t>
      </w:r>
      <w:r w:rsidRPr="7F4F9DD8" w:rsidR="7F4F9DD8">
        <w:rPr>
          <w:rFonts w:ascii="Times New Roman" w:hAnsi="Times New Roman" w:eastAsia="Times New Roman" w:cs="Times New Roman"/>
          <w:noProof w:val="0"/>
          <w:sz w:val="24"/>
          <w:szCs w:val="24"/>
          <w:lang w:val="en-US"/>
        </w:rPr>
        <w:t xml:space="preserve"> foreign institutions for exchange programs, joint research, and dual-degree offerings. This would enhance the global competitiveness of Indian HEIs.</w:t>
      </w:r>
    </w:p>
    <w:p w:rsidR="7F4F9DD8" w:rsidP="7F4F9DD8" w:rsidRDefault="7F4F9DD8" w14:paraId="6EDC1C91" w14:textId="6AA47BEB">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Adopt Best Practices:</w:t>
      </w:r>
      <w:r w:rsidRPr="7F4F9DD8" w:rsidR="7F4F9DD8">
        <w:rPr>
          <w:rFonts w:ascii="Times New Roman" w:hAnsi="Times New Roman" w:eastAsia="Times New Roman" w:cs="Times New Roman"/>
          <w:noProof w:val="0"/>
          <w:sz w:val="24"/>
          <w:szCs w:val="24"/>
          <w:lang w:val="en-US"/>
        </w:rPr>
        <w:t xml:space="preserve"> Benchmark governance practices against global standards, adapting successful models from countries like the US and UK to the Indian context.</w:t>
      </w:r>
    </w:p>
    <w:p w:rsidR="7F4F9DD8" w:rsidP="7F4F9DD8" w:rsidRDefault="7F4F9DD8" w14:paraId="0F0CDD40" w14:textId="4803BBAF">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8. Address Funding Challenges:</w:t>
      </w:r>
    </w:p>
    <w:p w:rsidR="7F4F9DD8" w:rsidP="7F4F9DD8" w:rsidRDefault="7F4F9DD8" w14:paraId="558366A4" w14:textId="25029DF1">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Diversify Funding Sources:</w:t>
      </w:r>
      <w:r w:rsidRPr="7F4F9DD8" w:rsidR="7F4F9DD8">
        <w:rPr>
          <w:rFonts w:ascii="Times New Roman" w:hAnsi="Times New Roman" w:eastAsia="Times New Roman" w:cs="Times New Roman"/>
          <w:noProof w:val="0"/>
          <w:sz w:val="24"/>
          <w:szCs w:val="24"/>
          <w:lang w:val="en-US"/>
        </w:rPr>
        <w:t xml:space="preserve"> Encourage HEIs to explore diverse funding avenues, including alumni donations, research grants, and corporate sponsorships. Endowment funds should be actively promoted to ensure long-term financial stability.</w:t>
      </w:r>
    </w:p>
    <w:p w:rsidR="7F4F9DD8" w:rsidP="7F4F9DD8" w:rsidRDefault="7F4F9DD8" w14:paraId="4EC21247" w14:textId="4830E1EA">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Public-Private Partnerships (PPPs):</w:t>
      </w:r>
      <w:r w:rsidRPr="7F4F9DD8" w:rsidR="7F4F9DD8">
        <w:rPr>
          <w:rFonts w:ascii="Times New Roman" w:hAnsi="Times New Roman" w:eastAsia="Times New Roman" w:cs="Times New Roman"/>
          <w:noProof w:val="0"/>
          <w:sz w:val="24"/>
          <w:szCs w:val="24"/>
          <w:lang w:val="en-US"/>
        </w:rPr>
        <w:t xml:space="preserve"> Develop PPP models to finance infrastructure projects and academic initiatives, </w:t>
      </w:r>
      <w:r w:rsidRPr="7F4F9DD8" w:rsidR="7F4F9DD8">
        <w:rPr>
          <w:rFonts w:ascii="Times New Roman" w:hAnsi="Times New Roman" w:eastAsia="Times New Roman" w:cs="Times New Roman"/>
          <w:noProof w:val="0"/>
          <w:sz w:val="24"/>
          <w:szCs w:val="24"/>
          <w:lang w:val="en-US"/>
        </w:rPr>
        <w:t>leveraging</w:t>
      </w:r>
      <w:r w:rsidRPr="7F4F9DD8" w:rsidR="7F4F9DD8">
        <w:rPr>
          <w:rFonts w:ascii="Times New Roman" w:hAnsi="Times New Roman" w:eastAsia="Times New Roman" w:cs="Times New Roman"/>
          <w:noProof w:val="0"/>
          <w:sz w:val="24"/>
          <w:szCs w:val="24"/>
          <w:lang w:val="en-US"/>
        </w:rPr>
        <w:t xml:space="preserve"> private sector </w:t>
      </w:r>
      <w:r w:rsidRPr="7F4F9DD8" w:rsidR="7F4F9DD8">
        <w:rPr>
          <w:rFonts w:ascii="Times New Roman" w:hAnsi="Times New Roman" w:eastAsia="Times New Roman" w:cs="Times New Roman"/>
          <w:noProof w:val="0"/>
          <w:sz w:val="24"/>
          <w:szCs w:val="24"/>
          <w:lang w:val="en-US"/>
        </w:rPr>
        <w:t>expertise</w:t>
      </w:r>
      <w:r w:rsidRPr="7F4F9DD8" w:rsidR="7F4F9DD8">
        <w:rPr>
          <w:rFonts w:ascii="Times New Roman" w:hAnsi="Times New Roman" w:eastAsia="Times New Roman" w:cs="Times New Roman"/>
          <w:noProof w:val="0"/>
          <w:sz w:val="24"/>
          <w:szCs w:val="24"/>
          <w:lang w:val="en-US"/>
        </w:rPr>
        <w:t xml:space="preserve"> and resources.</w:t>
      </w:r>
    </w:p>
    <w:p w:rsidR="7F4F9DD8" w:rsidP="7F4F9DD8" w:rsidRDefault="7F4F9DD8" w14:paraId="7C697235" w14:textId="791CE3B6">
      <w:pPr>
        <w:spacing w:before="240" w:beforeAutospacing="off" w:after="240" w:afterAutospacing="off"/>
        <w:jc w:val="both"/>
      </w:pPr>
      <w:r w:rsidRPr="7F4F9DD8" w:rsidR="7F4F9DD8">
        <w:rPr>
          <w:rFonts w:ascii="Times New Roman" w:hAnsi="Times New Roman" w:eastAsia="Times New Roman" w:cs="Times New Roman"/>
          <w:b w:val="1"/>
          <w:bCs w:val="1"/>
          <w:noProof w:val="0"/>
          <w:sz w:val="24"/>
          <w:szCs w:val="24"/>
          <w:lang w:val="en-US"/>
        </w:rPr>
        <w:t>9. Ensure Equity and Accessibility:</w:t>
      </w:r>
    </w:p>
    <w:p w:rsidR="7F4F9DD8" w:rsidP="7F4F9DD8" w:rsidRDefault="7F4F9DD8" w14:paraId="322423C8" w14:textId="7D9F50C6">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7F4F9DD8" w:rsidR="7F4F9DD8">
        <w:rPr>
          <w:rFonts w:ascii="Times New Roman" w:hAnsi="Times New Roman" w:eastAsia="Times New Roman" w:cs="Times New Roman"/>
          <w:b w:val="1"/>
          <w:bCs w:val="1"/>
          <w:noProof w:val="0"/>
          <w:sz w:val="24"/>
          <w:szCs w:val="24"/>
          <w:lang w:val="en-US"/>
        </w:rPr>
        <w:t>Inclusive Policies:</w:t>
      </w:r>
      <w:r w:rsidRPr="7F4F9DD8" w:rsidR="7F4F9DD8">
        <w:rPr>
          <w:rFonts w:ascii="Times New Roman" w:hAnsi="Times New Roman" w:eastAsia="Times New Roman" w:cs="Times New Roman"/>
          <w:noProof w:val="0"/>
          <w:sz w:val="24"/>
          <w:szCs w:val="24"/>
          <w:lang w:val="en-US"/>
        </w:rPr>
        <w:t xml:space="preserve"> Implement policies to ensure that autonomy does not compromise social equity. Scholarships, affirmative action, and outreach programs should remain integral to institutional mandates.</w:t>
      </w:r>
    </w:p>
    <w:p w:rsidR="7F4F9DD8" w:rsidP="0C61C7D9" w:rsidRDefault="7F4F9DD8" w14:paraId="5BF84A3B" w14:textId="1405CD25">
      <w:pPr>
        <w:pStyle w:val="Normal"/>
        <w:spacing w:before="0" w:beforeAutospacing="off" w:after="0" w:afterAutospacing="off"/>
        <w:ind w:left="0"/>
        <w:jc w:val="both"/>
        <w:rPr>
          <w:rFonts w:ascii="Times New Roman" w:hAnsi="Times New Roman" w:eastAsia="Times New Roman" w:cs="Times New Roman"/>
          <w:noProof w:val="0"/>
          <w:sz w:val="24"/>
          <w:szCs w:val="24"/>
          <w:lang w:val="en-US"/>
        </w:rPr>
      </w:pPr>
      <w:r w:rsidRPr="0C61C7D9" w:rsidR="740FD902">
        <w:rPr>
          <w:rFonts w:ascii="Times New Roman" w:hAnsi="Times New Roman" w:eastAsia="Times New Roman" w:cs="Times New Roman"/>
          <w:b w:val="1"/>
          <w:bCs w:val="1"/>
          <w:noProof w:val="0"/>
          <w:sz w:val="24"/>
          <w:szCs w:val="24"/>
          <w:lang w:val="en-US"/>
        </w:rPr>
        <w:t>Monitoring Mechanisms:</w:t>
      </w:r>
      <w:r w:rsidRPr="0C61C7D9" w:rsidR="740FD902">
        <w:rPr>
          <w:rFonts w:ascii="Times New Roman" w:hAnsi="Times New Roman" w:eastAsia="Times New Roman" w:cs="Times New Roman"/>
          <w:noProof w:val="0"/>
          <w:sz w:val="24"/>
          <w:szCs w:val="24"/>
          <w:lang w:val="en-US"/>
        </w:rPr>
        <w:t xml:space="preserve"> </w:t>
      </w:r>
      <w:r w:rsidRPr="0C61C7D9" w:rsidR="740FD902">
        <w:rPr>
          <w:rFonts w:ascii="Times New Roman" w:hAnsi="Times New Roman" w:eastAsia="Times New Roman" w:cs="Times New Roman"/>
          <w:noProof w:val="0"/>
          <w:sz w:val="24"/>
          <w:szCs w:val="24"/>
          <w:lang w:val="en-US"/>
        </w:rPr>
        <w:t>Establish</w:t>
      </w:r>
      <w:r w:rsidRPr="0C61C7D9" w:rsidR="740FD902">
        <w:rPr>
          <w:rFonts w:ascii="Times New Roman" w:hAnsi="Times New Roman" w:eastAsia="Times New Roman" w:cs="Times New Roman"/>
          <w:noProof w:val="0"/>
          <w:sz w:val="24"/>
          <w:szCs w:val="24"/>
          <w:lang w:val="en-US"/>
        </w:rPr>
        <w:t xml:space="preserve"> independent bodies to </w:t>
      </w:r>
      <w:r w:rsidRPr="0C61C7D9" w:rsidR="740FD902">
        <w:rPr>
          <w:rFonts w:ascii="Times New Roman" w:hAnsi="Times New Roman" w:eastAsia="Times New Roman" w:cs="Times New Roman"/>
          <w:noProof w:val="0"/>
          <w:sz w:val="24"/>
          <w:szCs w:val="24"/>
          <w:lang w:val="en-US"/>
        </w:rPr>
        <w:t>monitor</w:t>
      </w:r>
      <w:r w:rsidRPr="0C61C7D9" w:rsidR="740FD902">
        <w:rPr>
          <w:rFonts w:ascii="Times New Roman" w:hAnsi="Times New Roman" w:eastAsia="Times New Roman" w:cs="Times New Roman"/>
          <w:noProof w:val="0"/>
          <w:sz w:val="24"/>
          <w:szCs w:val="24"/>
          <w:lang w:val="en-US"/>
        </w:rPr>
        <w:t xml:space="preserve"> and address issues of discrimination, corruption, and malpractices within institutions.</w:t>
      </w:r>
    </w:p>
    <w:p w:rsidR="7F4F9DD8" w:rsidP="7F4F9DD8" w:rsidRDefault="7F4F9DD8" w14:paraId="7812F29F" w14:textId="3CCD2FF9">
      <w:pPr>
        <w:spacing w:before="240" w:beforeAutospacing="off" w:after="240" w:afterAutospacing="off"/>
        <w:jc w:val="both"/>
      </w:pPr>
      <w:r w:rsidRPr="5811D63D" w:rsidR="5811D63D">
        <w:rPr>
          <w:rFonts w:ascii="Times New Roman" w:hAnsi="Times New Roman" w:eastAsia="Times New Roman" w:cs="Times New Roman"/>
          <w:noProof w:val="0"/>
          <w:sz w:val="24"/>
          <w:szCs w:val="24"/>
          <w:lang w:val="en-US"/>
        </w:rPr>
        <w:t>Sustainable governance in Indian higher education demands a balanced approach that promotes autonomy, ensures accountability, and embraces innovation. By learning from global best practices and implementing these policy recommendations, India can foster a higher education system that not only meets international standards but also addresses its unique socio-economic challenges. This transformation is essential for producing skilled, responsible citizens and driving national development in the 21st century.</w:t>
      </w:r>
    </w:p>
    <w:p xmlns:wp14="http://schemas.microsoft.com/office/word/2010/wordml" w:rsidP="0EFFB164" wp14:paraId="4743A9BC" wp14:textId="233B508C">
      <w:pPr>
        <w:jc w:val="both"/>
        <w:rPr>
          <w:rFonts w:ascii="Times New Roman" w:hAnsi="Times New Roman" w:eastAsia="Times New Roman" w:cs="Times New Roman"/>
        </w:rPr>
      </w:pPr>
    </w:p>
    <w:p xmlns:wp14="http://schemas.microsoft.com/office/word/2010/wordml" w:rsidP="0C61C7D9" wp14:paraId="12E3C8FD" wp14:textId="69D71550">
      <w:pPr>
        <w:pStyle w:val="Heading3"/>
        <w:spacing w:before="281" w:beforeAutospacing="off" w:after="281" w:afterAutospacing="off"/>
        <w:jc w:val="both"/>
        <w:rPr>
          <w:rFonts w:ascii="Times New Roman" w:hAnsi="Times New Roman" w:eastAsia="Times New Roman" w:cs="Times New Roman"/>
          <w:b w:val="1"/>
          <w:bCs w:val="1"/>
          <w:noProof w:val="0"/>
          <w:sz w:val="24"/>
          <w:szCs w:val="24"/>
          <w:lang w:val="en-US"/>
        </w:rPr>
      </w:pPr>
      <w:r w:rsidRPr="0C61C7D9" w:rsidR="32C98A1D">
        <w:rPr>
          <w:rFonts w:ascii="Times New Roman" w:hAnsi="Times New Roman" w:eastAsia="Times New Roman" w:cs="Times New Roman"/>
          <w:b w:val="0"/>
          <w:bCs w:val="0"/>
          <w:noProof w:val="0"/>
          <w:color w:val="auto"/>
          <w:sz w:val="28"/>
          <w:szCs w:val="28"/>
          <w:lang w:val="en-US"/>
        </w:rPr>
        <w:t xml:space="preserve">References </w:t>
      </w:r>
    </w:p>
    <w:p xmlns:wp14="http://schemas.microsoft.com/office/word/2010/wordml" w:rsidP="0C61C7D9" wp14:paraId="7A1B4C05" wp14:textId="3CE3DC97">
      <w:pPr>
        <w:pStyle w:val="Normal"/>
        <w:spacing w:before="240" w:beforeAutospacing="off" w:after="240" w:afterAutospacing="off"/>
        <w:jc w:val="both"/>
        <w:rPr>
          <w:rFonts w:ascii="Times New Roman" w:hAnsi="Times New Roman" w:eastAsia="Times New Roman" w:cs="Times New Roman"/>
          <w:i w:val="0"/>
          <w:iCs w:val="0"/>
          <w:noProof w:val="0"/>
          <w:sz w:val="24"/>
          <w:szCs w:val="24"/>
          <w:lang w:val="en-US"/>
        </w:rPr>
      </w:pPr>
      <w:r w:rsidRPr="0C61C7D9" w:rsidR="0C61C7D9">
        <w:rPr>
          <w:rFonts w:ascii="Times New Roman" w:hAnsi="Times New Roman" w:eastAsia="Times New Roman" w:cs="Times New Roman"/>
          <w:noProof w:val="0"/>
          <w:sz w:val="24"/>
          <w:szCs w:val="24"/>
          <w:lang w:val="en-US"/>
        </w:rPr>
        <w:t xml:space="preserve">1. </w:t>
      </w:r>
      <w:r w:rsidRPr="0C61C7D9" w:rsidR="4431F400">
        <w:rPr>
          <w:rFonts w:ascii="Times New Roman" w:hAnsi="Times New Roman" w:eastAsia="Times New Roman" w:cs="Times New Roman"/>
          <w:noProof w:val="0"/>
          <w:sz w:val="24"/>
          <w:szCs w:val="24"/>
          <w:lang w:val="en-US"/>
        </w:rPr>
        <w:t xml:space="preserve"> </w:t>
      </w:r>
      <w:r w:rsidRPr="0C61C7D9" w:rsidR="4431F400">
        <w:rPr>
          <w:rFonts w:ascii="Times New Roman" w:hAnsi="Times New Roman" w:eastAsia="Times New Roman" w:cs="Times New Roman"/>
          <w:i w:val="0"/>
          <w:iCs w:val="0"/>
          <w:noProof w:val="0"/>
          <w:sz w:val="24"/>
          <w:szCs w:val="24"/>
          <w:lang w:val="en-US"/>
        </w:rPr>
        <w:t xml:space="preserve">Sharma, R. C. (2019). </w:t>
      </w:r>
      <w:r w:rsidRPr="0C61C7D9" w:rsidR="4431F400">
        <w:rPr>
          <w:rFonts w:ascii="Times New Roman" w:hAnsi="Times New Roman" w:eastAsia="Times New Roman" w:cs="Times New Roman"/>
          <w:i w:val="0"/>
          <w:iCs w:val="0"/>
          <w:noProof w:val="0"/>
          <w:sz w:val="24"/>
          <w:szCs w:val="24"/>
          <w:lang w:val="en-US"/>
        </w:rPr>
        <w:t>Governance in Higher Education Institutions</w:t>
      </w:r>
      <w:r w:rsidRPr="0C61C7D9" w:rsidR="4431F400">
        <w:rPr>
          <w:rFonts w:ascii="Times New Roman" w:hAnsi="Times New Roman" w:eastAsia="Times New Roman" w:cs="Times New Roman"/>
          <w:i w:val="0"/>
          <w:iCs w:val="0"/>
          <w:noProof w:val="0"/>
          <w:sz w:val="24"/>
          <w:szCs w:val="24"/>
          <w:lang w:val="en-US"/>
        </w:rPr>
        <w:t>. Academic Press.</w:t>
      </w:r>
    </w:p>
    <w:p xmlns:wp14="http://schemas.microsoft.com/office/word/2010/wordml" w:rsidP="0C61C7D9" wp14:paraId="6FB085C9" wp14:textId="01D79193">
      <w:p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0C61C7D9" w:rsidR="0CEC5174">
        <w:rPr>
          <w:rFonts w:ascii="Times New Roman" w:hAnsi="Times New Roman" w:eastAsia="Times New Roman" w:cs="Times New Roman"/>
          <w:noProof w:val="0"/>
          <w:sz w:val="24"/>
          <w:szCs w:val="24"/>
          <w:lang w:val="en-US"/>
        </w:rPr>
        <w:t>2.</w:t>
      </w:r>
      <w:r w:rsidRPr="0C61C7D9" w:rsidR="4431F400">
        <w:rPr>
          <w:rFonts w:ascii="Times New Roman" w:hAnsi="Times New Roman" w:eastAsia="Times New Roman" w:cs="Times New Roman"/>
          <w:noProof w:val="0"/>
          <w:sz w:val="24"/>
          <w:szCs w:val="24"/>
          <w:lang w:val="en-US"/>
        </w:rPr>
        <w:t xml:space="preserve"> </w:t>
      </w:r>
      <w:r w:rsidRPr="0C61C7D9" w:rsidR="4431F400">
        <w:rPr>
          <w:rFonts w:ascii="Times New Roman" w:hAnsi="Times New Roman" w:eastAsia="Times New Roman" w:cs="Times New Roman"/>
          <w:i w:val="0"/>
          <w:iCs w:val="0"/>
          <w:noProof w:val="0"/>
          <w:sz w:val="24"/>
          <w:szCs w:val="24"/>
          <w:lang w:val="en-US"/>
        </w:rPr>
        <w:t xml:space="preserve">Tilak, J. B. G. (2018). </w:t>
      </w:r>
      <w:r w:rsidRPr="0C61C7D9" w:rsidR="4431F400">
        <w:rPr>
          <w:rFonts w:ascii="Times New Roman" w:hAnsi="Times New Roman" w:eastAsia="Times New Roman" w:cs="Times New Roman"/>
          <w:i w:val="0"/>
          <w:iCs w:val="0"/>
          <w:noProof w:val="0"/>
          <w:sz w:val="24"/>
          <w:szCs w:val="24"/>
          <w:lang w:val="en-US"/>
        </w:rPr>
        <w:t>Higher Education in India: In Search of Equality, Quality and Quantity</w:t>
      </w:r>
      <w:r w:rsidRPr="0C61C7D9" w:rsidR="4431F400">
        <w:rPr>
          <w:rFonts w:ascii="Times New Roman" w:hAnsi="Times New Roman" w:eastAsia="Times New Roman" w:cs="Times New Roman"/>
          <w:i w:val="0"/>
          <w:iCs w:val="0"/>
          <w:noProof w:val="0"/>
          <w:sz w:val="24"/>
          <w:szCs w:val="24"/>
          <w:lang w:val="en-US"/>
        </w:rPr>
        <w:t>. Sage Publications.</w:t>
      </w:r>
    </w:p>
    <w:p xmlns:wp14="http://schemas.microsoft.com/office/word/2010/wordml" w:rsidP="0C61C7D9" wp14:paraId="6219AD8D" wp14:textId="53237A9D">
      <w:pPr>
        <w:spacing w:before="240" w:beforeAutospacing="off" w:after="240" w:afterAutospacing="off"/>
        <w:jc w:val="both"/>
        <w:rPr>
          <w:rFonts w:ascii="Times New Roman" w:hAnsi="Times New Roman" w:eastAsia="Times New Roman" w:cs="Times New Roman"/>
          <w:i w:val="0"/>
          <w:iCs w:val="0"/>
          <w:noProof w:val="0"/>
          <w:sz w:val="24"/>
          <w:szCs w:val="24"/>
          <w:lang w:val="en-US"/>
        </w:rPr>
      </w:pPr>
      <w:r w:rsidRPr="0C61C7D9" w:rsidR="71DA9C90">
        <w:rPr>
          <w:rFonts w:ascii="Times New Roman" w:hAnsi="Times New Roman" w:eastAsia="Times New Roman" w:cs="Times New Roman"/>
          <w:noProof w:val="0"/>
          <w:sz w:val="24"/>
          <w:szCs w:val="24"/>
          <w:lang w:val="en-US"/>
        </w:rPr>
        <w:t>3.</w:t>
      </w:r>
      <w:r w:rsidRPr="0C61C7D9" w:rsidR="4431F400">
        <w:rPr>
          <w:rFonts w:ascii="Times New Roman" w:hAnsi="Times New Roman" w:eastAsia="Times New Roman" w:cs="Times New Roman"/>
          <w:noProof w:val="0"/>
          <w:sz w:val="24"/>
          <w:szCs w:val="24"/>
          <w:lang w:val="en-US"/>
        </w:rPr>
        <w:t xml:space="preserve"> </w:t>
      </w:r>
      <w:r w:rsidRPr="0C61C7D9" w:rsidR="4431F400">
        <w:rPr>
          <w:rFonts w:ascii="Times New Roman" w:hAnsi="Times New Roman" w:eastAsia="Times New Roman" w:cs="Times New Roman"/>
          <w:i w:val="0"/>
          <w:iCs w:val="0"/>
          <w:noProof w:val="0"/>
          <w:sz w:val="24"/>
          <w:szCs w:val="24"/>
          <w:lang w:val="en-US"/>
        </w:rPr>
        <w:t xml:space="preserve">Agarwal, P. (2017). Higher education governance in India: Principles and practices. </w:t>
      </w:r>
      <w:r w:rsidRPr="0C61C7D9" w:rsidR="4431F400">
        <w:rPr>
          <w:rFonts w:ascii="Times New Roman" w:hAnsi="Times New Roman" w:eastAsia="Times New Roman" w:cs="Times New Roman"/>
          <w:i w:val="0"/>
          <w:iCs w:val="0"/>
          <w:noProof w:val="0"/>
          <w:sz w:val="24"/>
          <w:szCs w:val="24"/>
          <w:lang w:val="en-US"/>
        </w:rPr>
        <w:t>Journal of Educational Policy</w:t>
      </w:r>
      <w:r w:rsidRPr="0C61C7D9" w:rsidR="4431F400">
        <w:rPr>
          <w:rFonts w:ascii="Times New Roman" w:hAnsi="Times New Roman" w:eastAsia="Times New Roman" w:cs="Times New Roman"/>
          <w:i w:val="0"/>
          <w:iCs w:val="0"/>
          <w:noProof w:val="0"/>
          <w:sz w:val="24"/>
          <w:szCs w:val="24"/>
          <w:lang w:val="en-US"/>
        </w:rPr>
        <w:t>, 25(3), 567-590.</w:t>
      </w:r>
    </w:p>
    <w:p xmlns:wp14="http://schemas.microsoft.com/office/word/2010/wordml" w:rsidP="0C61C7D9" wp14:paraId="0D72E024" wp14:textId="5922D7A4">
      <w:pPr>
        <w:spacing w:before="240" w:beforeAutospacing="off" w:after="240" w:afterAutospacing="off"/>
        <w:jc w:val="both"/>
        <w:rPr>
          <w:rFonts w:ascii="Times New Roman" w:hAnsi="Times New Roman" w:eastAsia="Times New Roman" w:cs="Times New Roman"/>
          <w:i w:val="0"/>
          <w:iCs w:val="0"/>
          <w:noProof w:val="0"/>
          <w:sz w:val="24"/>
          <w:szCs w:val="24"/>
          <w:lang w:val="en-US"/>
        </w:rPr>
      </w:pPr>
      <w:r w:rsidRPr="0C61C7D9" w:rsidR="3B765B01">
        <w:rPr>
          <w:rFonts w:ascii="Times New Roman" w:hAnsi="Times New Roman" w:eastAsia="Times New Roman" w:cs="Times New Roman"/>
          <w:noProof w:val="0"/>
          <w:sz w:val="24"/>
          <w:szCs w:val="24"/>
          <w:lang w:val="en-US"/>
        </w:rPr>
        <w:t>4.</w:t>
      </w:r>
      <w:r w:rsidRPr="0C61C7D9" w:rsidR="4431F400">
        <w:rPr>
          <w:rFonts w:ascii="Times New Roman" w:hAnsi="Times New Roman" w:eastAsia="Times New Roman" w:cs="Times New Roman"/>
          <w:i w:val="0"/>
          <w:iCs w:val="0"/>
          <w:noProof w:val="0"/>
          <w:sz w:val="24"/>
          <w:szCs w:val="24"/>
          <w:lang w:val="en-US"/>
        </w:rPr>
        <w:t xml:space="preserve">Basu, S. (2020). Institutional autonomy and accountability in higher education. </w:t>
      </w:r>
      <w:r w:rsidRPr="0C61C7D9" w:rsidR="4431F400">
        <w:rPr>
          <w:rFonts w:ascii="Times New Roman" w:hAnsi="Times New Roman" w:eastAsia="Times New Roman" w:cs="Times New Roman"/>
          <w:i w:val="0"/>
          <w:iCs w:val="0"/>
          <w:noProof w:val="0"/>
          <w:sz w:val="24"/>
          <w:szCs w:val="24"/>
          <w:lang w:val="en-US"/>
        </w:rPr>
        <w:t>Economic and Political Weekly</w:t>
      </w:r>
      <w:r w:rsidRPr="0C61C7D9" w:rsidR="4431F400">
        <w:rPr>
          <w:rFonts w:ascii="Times New Roman" w:hAnsi="Times New Roman" w:eastAsia="Times New Roman" w:cs="Times New Roman"/>
          <w:i w:val="0"/>
          <w:iCs w:val="0"/>
          <w:noProof w:val="0"/>
          <w:sz w:val="24"/>
          <w:szCs w:val="24"/>
          <w:lang w:val="en-US"/>
        </w:rPr>
        <w:t>, 55(14), 23-29.</w:t>
      </w:r>
    </w:p>
    <w:p xmlns:wp14="http://schemas.microsoft.com/office/word/2010/wordml" w:rsidP="0C61C7D9" wp14:paraId="178F67FE" wp14:textId="58875B4A">
      <w:pPr>
        <w:spacing w:before="240" w:beforeAutospacing="off" w:after="240" w:afterAutospacing="off"/>
        <w:jc w:val="both"/>
        <w:rPr>
          <w:rFonts w:ascii="Times New Roman" w:hAnsi="Times New Roman" w:eastAsia="Times New Roman" w:cs="Times New Roman"/>
          <w:i w:val="0"/>
          <w:iCs w:val="0"/>
          <w:noProof w:val="0"/>
          <w:sz w:val="24"/>
          <w:szCs w:val="24"/>
          <w:lang w:val="en-US"/>
        </w:rPr>
      </w:pPr>
      <w:r w:rsidRPr="0C61C7D9" w:rsidR="27D89898">
        <w:rPr>
          <w:rFonts w:ascii="Times New Roman" w:hAnsi="Times New Roman" w:eastAsia="Times New Roman" w:cs="Times New Roman"/>
          <w:i w:val="0"/>
          <w:iCs w:val="0"/>
          <w:noProof w:val="0"/>
          <w:sz w:val="24"/>
          <w:szCs w:val="24"/>
          <w:lang w:val="en-US"/>
        </w:rPr>
        <w:t>5.</w:t>
      </w:r>
      <w:r w:rsidRPr="0C61C7D9" w:rsidR="4431F400">
        <w:rPr>
          <w:rFonts w:ascii="Times New Roman" w:hAnsi="Times New Roman" w:eastAsia="Times New Roman" w:cs="Times New Roman"/>
          <w:i w:val="0"/>
          <w:iCs w:val="0"/>
          <w:noProof w:val="0"/>
          <w:sz w:val="24"/>
          <w:szCs w:val="24"/>
          <w:lang w:val="en-US"/>
        </w:rPr>
        <w:t xml:space="preserve">Ministry of Human Resource Development. (2020). </w:t>
      </w:r>
      <w:r w:rsidRPr="0C61C7D9" w:rsidR="4431F400">
        <w:rPr>
          <w:rFonts w:ascii="Times New Roman" w:hAnsi="Times New Roman" w:eastAsia="Times New Roman" w:cs="Times New Roman"/>
          <w:i w:val="0"/>
          <w:iCs w:val="0"/>
          <w:noProof w:val="0"/>
          <w:sz w:val="24"/>
          <w:szCs w:val="24"/>
          <w:lang w:val="en-US"/>
        </w:rPr>
        <w:t>National Education Policy 2020</w:t>
      </w:r>
      <w:r w:rsidRPr="0C61C7D9" w:rsidR="4431F400">
        <w:rPr>
          <w:rFonts w:ascii="Times New Roman" w:hAnsi="Times New Roman" w:eastAsia="Times New Roman" w:cs="Times New Roman"/>
          <w:i w:val="0"/>
          <w:iCs w:val="0"/>
          <w:noProof w:val="0"/>
          <w:sz w:val="24"/>
          <w:szCs w:val="24"/>
          <w:lang w:val="en-US"/>
        </w:rPr>
        <w:t>. Government of India.</w:t>
      </w:r>
    </w:p>
    <w:p xmlns:wp14="http://schemas.microsoft.com/office/word/2010/wordml" w:rsidP="0C61C7D9" wp14:paraId="42A49BD9" wp14:textId="6A206C60">
      <w:pPr>
        <w:spacing w:before="240" w:beforeAutospacing="off" w:after="240" w:afterAutospacing="off"/>
        <w:jc w:val="both"/>
        <w:rPr>
          <w:rFonts w:ascii="Times New Roman" w:hAnsi="Times New Roman" w:eastAsia="Times New Roman" w:cs="Times New Roman"/>
          <w:i w:val="0"/>
          <w:iCs w:val="0"/>
          <w:noProof w:val="0"/>
          <w:sz w:val="24"/>
          <w:szCs w:val="24"/>
          <w:lang w:val="en-US"/>
        </w:rPr>
      </w:pPr>
      <w:r w:rsidRPr="0C61C7D9" w:rsidR="54A4C086">
        <w:rPr>
          <w:rFonts w:ascii="Times New Roman" w:hAnsi="Times New Roman" w:eastAsia="Times New Roman" w:cs="Times New Roman"/>
          <w:noProof w:val="0"/>
          <w:sz w:val="24"/>
          <w:szCs w:val="24"/>
          <w:lang w:val="en-US"/>
        </w:rPr>
        <w:t>6.</w:t>
      </w:r>
      <w:r w:rsidRPr="0C61C7D9" w:rsidR="4431F400">
        <w:rPr>
          <w:rFonts w:ascii="Times New Roman" w:hAnsi="Times New Roman" w:eastAsia="Times New Roman" w:cs="Times New Roman"/>
          <w:noProof w:val="0"/>
          <w:sz w:val="24"/>
          <w:szCs w:val="24"/>
          <w:lang w:val="en-US"/>
        </w:rPr>
        <w:t xml:space="preserve"> </w:t>
      </w:r>
      <w:r w:rsidRPr="0C61C7D9" w:rsidR="4431F400">
        <w:rPr>
          <w:rFonts w:ascii="Times New Roman" w:hAnsi="Times New Roman" w:eastAsia="Times New Roman" w:cs="Times New Roman"/>
          <w:i w:val="0"/>
          <w:iCs w:val="0"/>
          <w:noProof w:val="0"/>
          <w:sz w:val="24"/>
          <w:szCs w:val="24"/>
          <w:lang w:val="en-US"/>
        </w:rPr>
        <w:t xml:space="preserve">University Grants Commission. (2019). </w:t>
      </w:r>
      <w:r w:rsidRPr="0C61C7D9" w:rsidR="4431F400">
        <w:rPr>
          <w:rFonts w:ascii="Times New Roman" w:hAnsi="Times New Roman" w:eastAsia="Times New Roman" w:cs="Times New Roman"/>
          <w:i w:val="0"/>
          <w:iCs w:val="0"/>
          <w:noProof w:val="0"/>
          <w:sz w:val="24"/>
          <w:szCs w:val="24"/>
          <w:lang w:val="en-US"/>
        </w:rPr>
        <w:t>Annual Report 2018-19</w:t>
      </w:r>
      <w:r w:rsidRPr="0C61C7D9" w:rsidR="4431F400">
        <w:rPr>
          <w:rFonts w:ascii="Times New Roman" w:hAnsi="Times New Roman" w:eastAsia="Times New Roman" w:cs="Times New Roman"/>
          <w:i w:val="0"/>
          <w:iCs w:val="0"/>
          <w:noProof w:val="0"/>
          <w:sz w:val="24"/>
          <w:szCs w:val="24"/>
          <w:lang w:val="en-US"/>
        </w:rPr>
        <w:t>. UGC.</w:t>
      </w:r>
    </w:p>
    <w:p xmlns:wp14="http://schemas.microsoft.com/office/word/2010/wordml" w:rsidP="0EFFB164" wp14:paraId="0A5F07C6" wp14:textId="5E991ED2">
      <w:pPr>
        <w:spacing w:before="240" w:beforeAutospacing="off" w:after="240" w:afterAutospacing="off"/>
        <w:jc w:val="both"/>
        <w:rPr>
          <w:rFonts w:ascii="Times New Roman" w:hAnsi="Times New Roman" w:eastAsia="Times New Roman" w:cs="Times New Roman"/>
          <w:noProof w:val="0"/>
          <w:sz w:val="24"/>
          <w:szCs w:val="24"/>
          <w:lang w:val="en-US"/>
        </w:rPr>
      </w:pPr>
      <w:r w:rsidRPr="0C61C7D9" w:rsidR="11240090">
        <w:rPr>
          <w:rFonts w:ascii="Times New Roman" w:hAnsi="Times New Roman" w:eastAsia="Times New Roman" w:cs="Times New Roman"/>
          <w:noProof w:val="0"/>
          <w:sz w:val="24"/>
          <w:szCs w:val="24"/>
          <w:lang w:val="en-US"/>
        </w:rPr>
        <w:t>7.</w:t>
      </w:r>
      <w:r w:rsidRPr="0C61C7D9" w:rsidR="4431F400">
        <w:rPr>
          <w:rFonts w:ascii="Times New Roman" w:hAnsi="Times New Roman" w:eastAsia="Times New Roman" w:cs="Times New Roman"/>
          <w:noProof w:val="0"/>
          <w:sz w:val="24"/>
          <w:szCs w:val="24"/>
          <w:lang w:val="en-US"/>
        </w:rPr>
        <w:t xml:space="preserve">Ministry of Education. (2021). NEP 2020 implementation guidelines. </w:t>
      </w:r>
    </w:p>
    <w:p xmlns:wp14="http://schemas.microsoft.com/office/word/2010/wordml" w:rsidP="0EFFB164" wp14:paraId="4212E0A8" wp14:textId="284ABF7F">
      <w:pPr>
        <w:jc w:val="both"/>
        <w:rPr>
          <w:rFonts w:ascii="Times New Roman" w:hAnsi="Times New Roman" w:eastAsia="Times New Roman" w:cs="Times New Roman"/>
        </w:rPr>
      </w:pPr>
    </w:p>
    <w:p xmlns:wp14="http://schemas.microsoft.com/office/word/2010/wordml" w:rsidP="0EFFB164" wp14:paraId="24D329D0" wp14:textId="712DF0DC">
      <w:pPr>
        <w:spacing w:before="240" w:beforeAutospacing="off" w:after="240" w:afterAutospacing="off"/>
        <w:jc w:val="both"/>
        <w:rPr>
          <w:rFonts w:ascii="Times New Roman" w:hAnsi="Times New Roman" w:eastAsia="Times New Roman" w:cs="Times New Roman"/>
          <w:noProof w:val="0"/>
          <w:sz w:val="24"/>
          <w:szCs w:val="24"/>
          <w:lang w:val="en-US"/>
        </w:rPr>
      </w:pPr>
    </w:p>
    <w:p xmlns:wp14="http://schemas.microsoft.com/office/word/2010/wordml" w:rsidP="0EFFB164" wp14:paraId="2C078E63" wp14:textId="65353D77">
      <w:pPr>
        <w:jc w:val="both"/>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14="http://schemas.microsoft.com/office/word/2010/wordml" xmlns:w="http://schemas.openxmlformats.org/wordprocessingml/2006/main">
  <w:footnote w:type="separator" w:id="-1">
    <w:p w:rsidR="0C61C7D9" w:rsidRDefault="0C61C7D9" w14:paraId="32AC2628" w14:textId="72ACF552">
      <w:pPr>
        <w:spacing w:after="0" w:line="240" w:lineRule="auto"/>
      </w:pPr>
      <w:r>
        <w:separator/>
      </w:r>
    </w:p>
  </w:footnote>
  <w:footnote w:type="continuationSeparator" w:id="0">
    <w:p w:rsidR="0C61C7D9" w:rsidRDefault="0C61C7D9" w14:paraId="6A463C03" w14:textId="4B33EB85">
      <w:pPr>
        <w:spacing w:after="0" w:line="240" w:lineRule="auto"/>
      </w:pPr>
      <w:r>
        <w:continuationSeparator/>
      </w:r>
    </w:p>
  </w:footnote>
  <w:footnote w:id="20613">
    <w:p w:rsidR="0C61C7D9" w:rsidP="0C61C7D9" w:rsidRDefault="0C61C7D9" w14:paraId="5FE784CB" w14:textId="239660A2">
      <w:pPr>
        <w:pStyle w:val="Normal"/>
        <w:bidi w:val="0"/>
        <w:spacing w:before="240" w:beforeAutospacing="off" w:after="240" w:afterAutospacing="off"/>
        <w:jc w:val="both"/>
        <w:rPr>
          <w:rFonts w:ascii="Times New Roman" w:hAnsi="Times New Roman" w:eastAsia="Times New Roman" w:cs="Times New Roman"/>
          <w:noProof w:val="0"/>
          <w:sz w:val="20"/>
          <w:szCs w:val="20"/>
          <w:lang w:val="en-US"/>
        </w:rPr>
      </w:pPr>
      <w:r w:rsidRPr="0C61C7D9">
        <w:rPr>
          <w:rStyle w:val="FootnoteReference"/>
        </w:rPr>
        <w:footnoteRef/>
      </w:r>
      <w:r w:rsidR="0C61C7D9">
        <w:rPr/>
        <w:t xml:space="preserve"> </w:t>
      </w:r>
      <w:r w:rsidRPr="0C61C7D9" w:rsidR="0C61C7D9">
        <w:rPr>
          <w:rFonts w:ascii="Times New Roman" w:hAnsi="Times New Roman" w:eastAsia="Times New Roman" w:cs="Times New Roman"/>
          <w:noProof w:val="0"/>
          <w:sz w:val="20"/>
          <w:szCs w:val="20"/>
          <w:lang w:val="en-US"/>
        </w:rPr>
        <w:t xml:space="preserve">Ministry of Human Resource Development. (2020). </w:t>
      </w:r>
      <w:r w:rsidRPr="0C61C7D9" w:rsidR="0C61C7D9">
        <w:rPr>
          <w:rFonts w:ascii="Times New Roman" w:hAnsi="Times New Roman" w:eastAsia="Times New Roman" w:cs="Times New Roman"/>
          <w:i w:val="1"/>
          <w:iCs w:val="1"/>
          <w:noProof w:val="0"/>
          <w:sz w:val="20"/>
          <w:szCs w:val="20"/>
          <w:lang w:val="en-US"/>
        </w:rPr>
        <w:t>National Education Policy 2020</w:t>
      </w:r>
      <w:r w:rsidRPr="0C61C7D9" w:rsidR="0C61C7D9">
        <w:rPr>
          <w:rFonts w:ascii="Times New Roman" w:hAnsi="Times New Roman" w:eastAsia="Times New Roman" w:cs="Times New Roman"/>
          <w:noProof w:val="0"/>
          <w:sz w:val="20"/>
          <w:szCs w:val="20"/>
          <w:lang w:val="en-US"/>
        </w:rPr>
        <w:t>. Government of India.</w:t>
      </w:r>
    </w:p>
    <w:p w:rsidR="0C61C7D9" w:rsidP="0C61C7D9" w:rsidRDefault="0C61C7D9" w14:paraId="4374C60D" w14:textId="3EFEAADF">
      <w:pPr>
        <w:pStyle w:val="FootnoteText"/>
        <w:bidi w:val="0"/>
        <w:rPr>
          <w:sz w:val="20"/>
          <w:szCs w:val="20"/>
        </w:rPr>
      </w:pPr>
    </w:p>
  </w:footnote>
  <w:footnote w:id="20179">
    <w:p w:rsidR="0C61C7D9" w:rsidP="0C61C7D9" w:rsidRDefault="0C61C7D9" w14:paraId="441E8A29" w14:textId="26077317">
      <w:pPr>
        <w:pStyle w:val="Normal"/>
        <w:bidi w:val="0"/>
        <w:spacing w:before="240" w:beforeAutospacing="off" w:after="240" w:afterAutospacing="off"/>
        <w:jc w:val="both"/>
        <w:rPr>
          <w:rFonts w:ascii="Times New Roman" w:hAnsi="Times New Roman" w:eastAsia="Times New Roman" w:cs="Times New Roman"/>
          <w:noProof w:val="0"/>
          <w:sz w:val="24"/>
          <w:szCs w:val="24"/>
          <w:lang w:val="en-US"/>
        </w:rPr>
      </w:pPr>
      <w:r w:rsidRPr="0C61C7D9">
        <w:rPr>
          <w:rStyle w:val="FootnoteReference"/>
          <w:sz w:val="20"/>
          <w:szCs w:val="20"/>
        </w:rPr>
        <w:footnoteRef/>
      </w:r>
      <w:r w:rsidR="0C61C7D9">
        <w:rPr/>
        <w:t xml:space="preserve"> </w:t>
      </w:r>
      <w:r w:rsidRPr="0C61C7D9" w:rsidR="0C61C7D9">
        <w:rPr>
          <w:rFonts w:ascii="Times New Roman" w:hAnsi="Times New Roman" w:eastAsia="Times New Roman" w:cs="Times New Roman"/>
          <w:noProof w:val="0"/>
          <w:sz w:val="20"/>
          <w:szCs w:val="20"/>
          <w:lang w:val="en-US"/>
        </w:rPr>
        <w:t xml:space="preserve">University Grants Commission. (2019). </w:t>
      </w:r>
      <w:r w:rsidRPr="0C61C7D9" w:rsidR="0C61C7D9">
        <w:rPr>
          <w:rFonts w:ascii="Times New Roman" w:hAnsi="Times New Roman" w:eastAsia="Times New Roman" w:cs="Times New Roman"/>
          <w:i w:val="1"/>
          <w:iCs w:val="1"/>
          <w:noProof w:val="0"/>
          <w:sz w:val="20"/>
          <w:szCs w:val="20"/>
          <w:lang w:val="en-US"/>
        </w:rPr>
        <w:t>Annual Report 2018-19</w:t>
      </w:r>
      <w:r w:rsidRPr="0C61C7D9" w:rsidR="0C61C7D9">
        <w:rPr>
          <w:rFonts w:ascii="Times New Roman" w:hAnsi="Times New Roman" w:eastAsia="Times New Roman" w:cs="Times New Roman"/>
          <w:noProof w:val="0"/>
          <w:sz w:val="20"/>
          <w:szCs w:val="20"/>
          <w:lang w:val="en-US"/>
        </w:rPr>
        <w:t>. UGC.</w:t>
      </w:r>
    </w:p>
    <w:p w:rsidR="0C61C7D9" w:rsidP="0C61C7D9" w:rsidRDefault="0C61C7D9" w14:paraId="74F81976" w14:textId="7F7166AA">
      <w:pPr>
        <w:pStyle w:val="FootnoteText"/>
        <w:bidi w:val="0"/>
      </w:pPr>
    </w:p>
  </w:footnote>
  <w:footnote w:id="6060">
    <w:p w:rsidR="0C61C7D9" w:rsidP="0C61C7D9" w:rsidRDefault="0C61C7D9" w14:paraId="5805BE33" w14:textId="6BC02BBA">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i w:val="0"/>
          <w:iCs w:val="0"/>
          <w:sz w:val="20"/>
          <w:szCs w:val="20"/>
        </w:rPr>
        <w:footnoteRef/>
      </w:r>
      <w:r w:rsidRPr="0C61C7D9" w:rsidR="0C61C7D9">
        <w:rPr>
          <w:i w:val="0"/>
          <w:iCs w:val="0"/>
          <w:sz w:val="20"/>
          <w:szCs w:val="20"/>
        </w:rPr>
        <w:t xml:space="preserve"> </w:t>
      </w:r>
      <w:r w:rsidRPr="0C61C7D9" w:rsidR="0C61C7D9">
        <w:rPr>
          <w:rFonts w:ascii="Times New Roman" w:hAnsi="Times New Roman" w:eastAsia="Times New Roman" w:cs="Times New Roman"/>
          <w:i w:val="0"/>
          <w:iCs w:val="0"/>
          <w:noProof w:val="0"/>
          <w:sz w:val="20"/>
          <w:szCs w:val="20"/>
          <w:lang w:val="en-US"/>
        </w:rPr>
        <w:t xml:space="preserve">University Grants Commission. (2019). </w:t>
      </w:r>
      <w:r w:rsidRPr="0C61C7D9" w:rsidR="0C61C7D9">
        <w:rPr>
          <w:rFonts w:ascii="Times New Roman" w:hAnsi="Times New Roman" w:eastAsia="Times New Roman" w:cs="Times New Roman"/>
          <w:i w:val="0"/>
          <w:iCs w:val="0"/>
          <w:noProof w:val="0"/>
          <w:sz w:val="20"/>
          <w:szCs w:val="20"/>
          <w:lang w:val="en-US"/>
        </w:rPr>
        <w:t>Annual Report 2018-19</w:t>
      </w:r>
      <w:r w:rsidRPr="0C61C7D9" w:rsidR="0C61C7D9">
        <w:rPr>
          <w:rFonts w:ascii="Times New Roman" w:hAnsi="Times New Roman" w:eastAsia="Times New Roman" w:cs="Times New Roman"/>
          <w:i w:val="0"/>
          <w:iCs w:val="0"/>
          <w:noProof w:val="0"/>
          <w:sz w:val="20"/>
          <w:szCs w:val="20"/>
          <w:lang w:val="en-US"/>
        </w:rPr>
        <w:t>. UGC.</w:t>
      </w:r>
    </w:p>
    <w:p w:rsidR="0C61C7D9" w:rsidP="0C61C7D9" w:rsidRDefault="0C61C7D9" w14:paraId="50D95D97" w14:textId="00AAE1AF">
      <w:pPr>
        <w:pStyle w:val="FootnoteText"/>
        <w:bidi w:val="0"/>
        <w:rPr>
          <w:sz w:val="20"/>
          <w:szCs w:val="20"/>
        </w:rPr>
      </w:pPr>
    </w:p>
  </w:footnote>
  <w:footnote w:id="12852">
    <w:p w:rsidR="0C61C7D9" w:rsidP="0C61C7D9" w:rsidRDefault="0C61C7D9" w14:paraId="6BE462AF" w14:textId="2916CD9A">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Agarwal, P. (2017). Higher education governance in India: Principles and practices. Journal of Educational Policy, 25(3), 567-590.</w:t>
      </w:r>
    </w:p>
    <w:p w:rsidR="0C61C7D9" w:rsidP="0C61C7D9" w:rsidRDefault="0C61C7D9" w14:paraId="1EDB5DBE" w14:textId="3AFC62C4">
      <w:pPr>
        <w:pStyle w:val="FootnoteText"/>
        <w:bidi w:val="0"/>
      </w:pPr>
    </w:p>
  </w:footnote>
  <w:footnote w:id="13929">
    <w:p w:rsidR="0C61C7D9" w:rsidP="0C61C7D9" w:rsidRDefault="0C61C7D9" w14:paraId="4C0C129C" w14:textId="223EF70D">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Tilak, J. B. G. (2018). Higher Education in India: In Search of Equality, Quality and Quantity. Sage Publications.</w:t>
      </w:r>
    </w:p>
    <w:p w:rsidR="0C61C7D9" w:rsidP="0C61C7D9" w:rsidRDefault="0C61C7D9" w14:paraId="0426E52A" w14:textId="4A00A013">
      <w:pPr>
        <w:pStyle w:val="FootnoteText"/>
        <w:bidi w:val="0"/>
      </w:pPr>
    </w:p>
  </w:footnote>
  <w:footnote w:id="2579">
    <w:p w:rsidR="0C61C7D9" w:rsidP="0C61C7D9" w:rsidRDefault="0C61C7D9" w14:paraId="3518ABFE" w14:textId="0519504C">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University Grants Commission. (2019). Annual Report 2018-19. UGC.</w:t>
      </w:r>
    </w:p>
    <w:p w:rsidR="0C61C7D9" w:rsidP="0C61C7D9" w:rsidRDefault="0C61C7D9" w14:paraId="05CDACDB" w14:textId="2C03BA9F">
      <w:pPr>
        <w:pStyle w:val="FootnoteText"/>
        <w:bidi w:val="0"/>
      </w:pPr>
    </w:p>
  </w:footnote>
  <w:footnote w:id="14097">
    <w:p w:rsidR="0C61C7D9" w:rsidP="0C61C7D9" w:rsidRDefault="0C61C7D9" w14:paraId="2EC1771E" w14:textId="2E507893">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Agarwal, P. (2017). Higher education governance in India: Principles and practices. Journal of Educational Policy, 25(3), 567-590.</w:t>
      </w:r>
    </w:p>
    <w:p w:rsidR="0C61C7D9" w:rsidP="0C61C7D9" w:rsidRDefault="0C61C7D9" w14:paraId="4EF2BD2B" w14:textId="6D62CA88">
      <w:pPr>
        <w:pStyle w:val="FootnoteText"/>
        <w:bidi w:val="0"/>
      </w:pPr>
    </w:p>
  </w:footnote>
  <w:footnote w:id="12542">
    <w:p w:rsidR="0C61C7D9" w:rsidP="0C61C7D9" w:rsidRDefault="0C61C7D9" w14:paraId="68E7EDC3" w14:textId="536B7A03">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University Grants Commission. (2019). Annual Report 2018-19. UGC.</w:t>
      </w:r>
    </w:p>
    <w:p w:rsidR="0C61C7D9" w:rsidP="0C61C7D9" w:rsidRDefault="0C61C7D9" w14:paraId="29BE64EB" w14:textId="07F047B0">
      <w:pPr>
        <w:pStyle w:val="FootnoteText"/>
        <w:bidi w:val="0"/>
      </w:pPr>
    </w:p>
  </w:footnote>
  <w:footnote w:id="32137">
    <w:p w:rsidR="0C61C7D9" w:rsidP="0C61C7D9" w:rsidRDefault="0C61C7D9" w14:paraId="3C20B7AC" w14:textId="44510836">
      <w:pPr>
        <w:pStyle w:val="FootnoteText"/>
        <w:bidi w:val="0"/>
        <w:rPr>
          <w:rFonts w:ascii="Times New Roman" w:hAnsi="Times New Roman" w:eastAsia="Times New Roman" w:cs="Times New Roman"/>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noProof w:val="0"/>
          <w:sz w:val="20"/>
          <w:szCs w:val="20"/>
          <w:lang w:val="en-US"/>
        </w:rPr>
        <w:t>Ministry of Education. (2021). NEP 2020 implementation guidelines.</w:t>
      </w:r>
    </w:p>
  </w:footnote>
  <w:footnote w:id="31460">
    <w:p w:rsidR="0C61C7D9" w:rsidP="0C61C7D9" w:rsidRDefault="0C61C7D9" w14:paraId="3C6E8068" w14:textId="78561F1B">
      <w:pPr>
        <w:pStyle w:val="FootnoteText"/>
        <w:bidi w:val="0"/>
        <w:rPr>
          <w:rFonts w:ascii="Times New Roman" w:hAnsi="Times New Roman" w:eastAsia="Times New Roman" w:cs="Times New Roman"/>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noProof w:val="0"/>
          <w:sz w:val="20"/>
          <w:szCs w:val="20"/>
          <w:lang w:val="en-US"/>
        </w:rPr>
        <w:t>Ministry of Education. (2021). NEP 2020 implementation guidelines</w:t>
      </w:r>
    </w:p>
  </w:footnote>
  <w:footnote w:id="14634">
    <w:p w:rsidR="0C61C7D9" w:rsidP="0C61C7D9" w:rsidRDefault="0C61C7D9" w14:paraId="5FEBEF15" w14:textId="50498C56">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Agarwal, P. (2017). Higher education governance in India: Principles and practices. Journal of Educational Policy, 25(3), 567-590.</w:t>
      </w:r>
    </w:p>
    <w:p w:rsidR="0C61C7D9" w:rsidP="0C61C7D9" w:rsidRDefault="0C61C7D9" w14:paraId="032B98D0" w14:textId="522C5FC1">
      <w:pPr>
        <w:pStyle w:val="FootnoteText"/>
        <w:bidi w:val="0"/>
      </w:pPr>
    </w:p>
  </w:footnote>
  <w:footnote w:id="22407">
    <w:p w:rsidR="0C61C7D9" w:rsidP="0C61C7D9" w:rsidRDefault="0C61C7D9" w14:paraId="05184743" w14:textId="3E72FADD">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Sharma, R. C. (2019). Governance in Higher Education Institutions. Academic Press.</w:t>
      </w:r>
    </w:p>
    <w:p w:rsidR="0C61C7D9" w:rsidP="0C61C7D9" w:rsidRDefault="0C61C7D9" w14:paraId="01E830E8" w14:textId="639D9E9E">
      <w:pPr>
        <w:pStyle w:val="FootnoteText"/>
        <w:bidi w:val="0"/>
      </w:pPr>
    </w:p>
  </w:footnote>
  <w:footnote w:id="21254">
    <w:p w:rsidR="0C61C7D9" w:rsidP="0C61C7D9" w:rsidRDefault="0C61C7D9" w14:paraId="67A47920" w14:textId="73DF2F82">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Basu, S. (2020). Institutional autonomy and accountability in higher education. Economic and Political Weekly, 55(14), 23-29.</w:t>
      </w:r>
    </w:p>
    <w:p w:rsidR="0C61C7D9" w:rsidP="0C61C7D9" w:rsidRDefault="0C61C7D9" w14:paraId="075C571E" w14:textId="0FB4AA36">
      <w:pPr>
        <w:pStyle w:val="FootnoteText"/>
        <w:bidi w:val="0"/>
        <w:rPr>
          <w:sz w:val="20"/>
          <w:szCs w:val="20"/>
        </w:rPr>
      </w:pPr>
    </w:p>
  </w:footnote>
  <w:footnote w:id="6960">
    <w:p w:rsidR="0C61C7D9" w:rsidP="0C61C7D9" w:rsidRDefault="0C61C7D9" w14:paraId="50A013B9" w14:textId="1CE59DF5">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Agarwal, P. (2017). Higher education governance in India: Principles and practices. Journal of Educational Policy, 25(3), 567-590.</w:t>
      </w:r>
    </w:p>
    <w:p w:rsidR="0C61C7D9" w:rsidP="0C61C7D9" w:rsidRDefault="0C61C7D9" w14:paraId="1D2ACBEE" w14:textId="3BFC4135">
      <w:pPr>
        <w:pStyle w:val="FootnoteText"/>
        <w:bidi w:val="0"/>
      </w:pPr>
    </w:p>
  </w:footnote>
  <w:footnote w:id="27132">
    <w:p w:rsidR="0C61C7D9" w:rsidP="0C61C7D9" w:rsidRDefault="0C61C7D9" w14:paraId="74F3E1D9" w14:textId="6D2B2146">
      <w:pPr>
        <w:pStyle w:val="Normal"/>
        <w:bidi w:val="0"/>
        <w:spacing w:before="240" w:beforeAutospacing="off" w:after="240" w:afterAutospacing="off"/>
        <w:jc w:val="both"/>
        <w:rPr>
          <w:rFonts w:ascii="Times New Roman" w:hAnsi="Times New Roman" w:eastAsia="Times New Roman" w:cs="Times New Roman"/>
          <w:i w:val="0"/>
          <w:iCs w:val="0"/>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i w:val="0"/>
          <w:iCs w:val="0"/>
          <w:noProof w:val="0"/>
          <w:sz w:val="20"/>
          <w:szCs w:val="20"/>
          <w:lang w:val="en-US"/>
        </w:rPr>
        <w:t>Agarwal, P. (2017). Higher education governance in India: Principles and practices. Journal of Educational Policy, 25(3), 567-590.</w:t>
      </w:r>
    </w:p>
    <w:p w:rsidR="0C61C7D9" w:rsidP="0C61C7D9" w:rsidRDefault="0C61C7D9" w14:paraId="0D4387B4" w14:textId="50CD4D18">
      <w:pPr>
        <w:pStyle w:val="FootnoteText"/>
        <w:bidi w:val="0"/>
        <w:rPr>
          <w:sz w:val="20"/>
          <w:szCs w:val="20"/>
        </w:rPr>
      </w:pPr>
    </w:p>
  </w:footnote>
  <w:footnote w:id="26409">
    <w:p w:rsidR="0C61C7D9" w:rsidP="0C61C7D9" w:rsidRDefault="0C61C7D9" w14:paraId="30778C24" w14:textId="10E51DF7">
      <w:pPr>
        <w:pStyle w:val="Normal"/>
        <w:bidi w:val="0"/>
        <w:spacing w:before="240" w:beforeAutospacing="off" w:after="240" w:afterAutospacing="off"/>
        <w:jc w:val="both"/>
        <w:rPr>
          <w:rFonts w:ascii="Times New Roman" w:hAnsi="Times New Roman" w:eastAsia="Times New Roman" w:cs="Times New Roman"/>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noProof w:val="0"/>
          <w:sz w:val="20"/>
          <w:szCs w:val="20"/>
          <w:lang w:val="en-US"/>
        </w:rPr>
        <w:t>Ministry of Education. (2021). NEP 2020 implementation guidelines.</w:t>
      </w:r>
    </w:p>
    <w:p w:rsidR="0C61C7D9" w:rsidP="0C61C7D9" w:rsidRDefault="0C61C7D9" w14:paraId="1D030349" w14:textId="1B046E99">
      <w:pPr>
        <w:pStyle w:val="FootnoteText"/>
        <w:bidi w:val="0"/>
      </w:pPr>
    </w:p>
  </w:footnote>
  <w:footnote w:id="5096">
    <w:p w:rsidR="0C61C7D9" w:rsidP="0C61C7D9" w:rsidRDefault="0C61C7D9" w14:paraId="4196F9FE" w14:textId="74C71ED5">
      <w:pPr>
        <w:pStyle w:val="Normal"/>
        <w:bidi w:val="0"/>
        <w:spacing w:before="240" w:beforeAutospacing="off" w:after="240" w:afterAutospacing="off"/>
        <w:jc w:val="both"/>
        <w:rPr>
          <w:rFonts w:ascii="Times New Roman" w:hAnsi="Times New Roman" w:eastAsia="Times New Roman" w:cs="Times New Roman"/>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noProof w:val="0"/>
          <w:sz w:val="20"/>
          <w:szCs w:val="20"/>
          <w:lang w:val="en-US"/>
        </w:rPr>
        <w:t>Ministry of Education. (2021). NEP 2020 implementation guidelines.</w:t>
      </w:r>
    </w:p>
    <w:p w:rsidR="0C61C7D9" w:rsidP="0C61C7D9" w:rsidRDefault="0C61C7D9" w14:paraId="06B5B94C" w14:textId="6ACF5166">
      <w:pPr>
        <w:pStyle w:val="FootnoteText"/>
        <w:bidi w:val="0"/>
      </w:pPr>
    </w:p>
  </w:footnote>
  <w:footnote w:id="8628">
    <w:p w:rsidR="0C61C7D9" w:rsidP="0C61C7D9" w:rsidRDefault="0C61C7D9" w14:paraId="0E8961D4" w14:textId="545C46B9">
      <w:pPr>
        <w:pStyle w:val="Normal"/>
        <w:bidi w:val="0"/>
        <w:spacing w:before="240" w:beforeAutospacing="off" w:after="240" w:afterAutospacing="off"/>
        <w:jc w:val="both"/>
        <w:rPr>
          <w:rFonts w:ascii="Times New Roman" w:hAnsi="Times New Roman" w:eastAsia="Times New Roman" w:cs="Times New Roman"/>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noProof w:val="0"/>
          <w:sz w:val="20"/>
          <w:szCs w:val="20"/>
          <w:lang w:val="en-US"/>
        </w:rPr>
        <w:t>Ministry of Education. (2021). NEP 2020 implementation guidelines.</w:t>
      </w:r>
    </w:p>
    <w:p w:rsidR="0C61C7D9" w:rsidP="0C61C7D9" w:rsidRDefault="0C61C7D9" w14:paraId="204A5A6E" w14:textId="4FCDF5A6">
      <w:pPr>
        <w:pStyle w:val="FootnoteText"/>
        <w:bidi w:val="0"/>
      </w:pPr>
    </w:p>
  </w:footnote>
  <w:footnote w:id="4317">
    <w:p w:rsidR="0C61C7D9" w:rsidP="0C61C7D9" w:rsidRDefault="0C61C7D9" w14:paraId="5C51F1B0" w14:textId="2ED7ED0C">
      <w:pPr>
        <w:pStyle w:val="Normal"/>
        <w:bidi w:val="0"/>
        <w:spacing w:before="240" w:beforeAutospacing="off" w:after="240" w:afterAutospacing="off"/>
        <w:jc w:val="both"/>
        <w:rPr>
          <w:rFonts w:ascii="Times New Roman" w:hAnsi="Times New Roman" w:eastAsia="Times New Roman" w:cs="Times New Roman"/>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noProof w:val="0"/>
          <w:sz w:val="20"/>
          <w:szCs w:val="20"/>
          <w:lang w:val="en-US"/>
        </w:rPr>
        <w:t>Ministry of Education. (2021). NEP 2020 implementation guidelines.</w:t>
      </w:r>
    </w:p>
    <w:p w:rsidR="0C61C7D9" w:rsidP="0C61C7D9" w:rsidRDefault="0C61C7D9" w14:paraId="4D8ED27B" w14:textId="70CD5287">
      <w:pPr>
        <w:pStyle w:val="FootnoteText"/>
        <w:bidi w:val="0"/>
      </w:pPr>
    </w:p>
  </w:footnote>
  <w:footnote w:id="29175">
    <w:p w:rsidR="0C61C7D9" w:rsidP="0C61C7D9" w:rsidRDefault="0C61C7D9" w14:paraId="04892774" w14:textId="47AB92F5">
      <w:pPr>
        <w:pStyle w:val="Normal"/>
        <w:bidi w:val="0"/>
        <w:spacing w:before="240" w:beforeAutospacing="off" w:after="240" w:afterAutospacing="off"/>
        <w:jc w:val="both"/>
        <w:rPr>
          <w:rFonts w:ascii="Times New Roman" w:hAnsi="Times New Roman" w:eastAsia="Times New Roman" w:cs="Times New Roman"/>
          <w:noProof w:val="0"/>
          <w:sz w:val="20"/>
          <w:szCs w:val="20"/>
          <w:lang w:val="en-US"/>
        </w:rPr>
      </w:pPr>
      <w:r w:rsidRPr="0C61C7D9">
        <w:rPr>
          <w:rStyle w:val="FootnoteReference"/>
          <w:sz w:val="20"/>
          <w:szCs w:val="20"/>
        </w:rPr>
        <w:footnoteRef/>
      </w:r>
      <w:r w:rsidRPr="0C61C7D9" w:rsidR="0C61C7D9">
        <w:rPr>
          <w:sz w:val="20"/>
          <w:szCs w:val="20"/>
        </w:rPr>
        <w:t xml:space="preserve"> </w:t>
      </w:r>
      <w:r w:rsidRPr="0C61C7D9" w:rsidR="0C61C7D9">
        <w:rPr>
          <w:rFonts w:ascii="Times New Roman" w:hAnsi="Times New Roman" w:eastAsia="Times New Roman" w:cs="Times New Roman"/>
          <w:noProof w:val="0"/>
          <w:sz w:val="20"/>
          <w:szCs w:val="20"/>
          <w:lang w:val="en-US"/>
        </w:rPr>
        <w:t>Ministry of Education. (2021). NEP 2020 implementation guidelines.</w:t>
      </w:r>
    </w:p>
    <w:p w:rsidR="0C61C7D9" w:rsidP="0C61C7D9" w:rsidRDefault="0C61C7D9" w14:paraId="38AD5FB0" w14:textId="382282DC">
      <w:pPr>
        <w:pStyle w:val="FootnoteText"/>
        <w:bidi w:val="0"/>
      </w:pPr>
    </w:p>
  </w:footnote>
</w:footnotes>
</file>

<file path=word/numbering.xml><?xml version="1.0" encoding="utf-8"?>
<w:numbering xmlns:w="http://schemas.openxmlformats.org/wordprocessingml/2006/main">
  <w:abstractNum xmlns:w="http://schemas.openxmlformats.org/wordprocessingml/2006/main" w:abstractNumId="33">
    <w:nsid w:val="14eb3f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4c81d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554d2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6ffa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d8a30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2a215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4f28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8c9dc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0ba99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c8619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e92c5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ec799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7b836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df34c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fc0db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748e3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d9d54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ab37b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18fb6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db4f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dac01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60ac2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4cbd4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853ab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1c359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2917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98a2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f7895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94f60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f2d6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4655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82697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e21a2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3F8CFE"/>
    <w:rsid w:val="0228D5B3"/>
    <w:rsid w:val="031C8664"/>
    <w:rsid w:val="06074FA0"/>
    <w:rsid w:val="0B2DEEB6"/>
    <w:rsid w:val="0C61C7D9"/>
    <w:rsid w:val="0CEC5174"/>
    <w:rsid w:val="0EFFB164"/>
    <w:rsid w:val="0F43F785"/>
    <w:rsid w:val="1043C25D"/>
    <w:rsid w:val="11240090"/>
    <w:rsid w:val="120AC9A9"/>
    <w:rsid w:val="12A0460D"/>
    <w:rsid w:val="14DE51B2"/>
    <w:rsid w:val="19959CD4"/>
    <w:rsid w:val="19AF3060"/>
    <w:rsid w:val="1A36D594"/>
    <w:rsid w:val="1AF6BD1D"/>
    <w:rsid w:val="1E410B06"/>
    <w:rsid w:val="1EC00D77"/>
    <w:rsid w:val="21C41256"/>
    <w:rsid w:val="223F59CF"/>
    <w:rsid w:val="26F16BA2"/>
    <w:rsid w:val="270AA367"/>
    <w:rsid w:val="27D89898"/>
    <w:rsid w:val="29D4959A"/>
    <w:rsid w:val="2AD10E6B"/>
    <w:rsid w:val="2BC95D68"/>
    <w:rsid w:val="3075CE16"/>
    <w:rsid w:val="30CF2A75"/>
    <w:rsid w:val="320E65E5"/>
    <w:rsid w:val="32C33A8A"/>
    <w:rsid w:val="32C98A1D"/>
    <w:rsid w:val="32E7E669"/>
    <w:rsid w:val="390F2B9C"/>
    <w:rsid w:val="395921BB"/>
    <w:rsid w:val="397F2483"/>
    <w:rsid w:val="3B765B01"/>
    <w:rsid w:val="3CE0B204"/>
    <w:rsid w:val="3D2FE67A"/>
    <w:rsid w:val="3E7918C2"/>
    <w:rsid w:val="3FB432D0"/>
    <w:rsid w:val="42876901"/>
    <w:rsid w:val="4431F400"/>
    <w:rsid w:val="4576AAE6"/>
    <w:rsid w:val="46407E95"/>
    <w:rsid w:val="4B2094E4"/>
    <w:rsid w:val="4BE71D89"/>
    <w:rsid w:val="513F8CFE"/>
    <w:rsid w:val="524A37DE"/>
    <w:rsid w:val="53C9E1E7"/>
    <w:rsid w:val="53C9E1E7"/>
    <w:rsid w:val="53EE668C"/>
    <w:rsid w:val="5407A33C"/>
    <w:rsid w:val="54A4C086"/>
    <w:rsid w:val="57FBF8FE"/>
    <w:rsid w:val="5811D63D"/>
    <w:rsid w:val="583B0CE0"/>
    <w:rsid w:val="5911C5F2"/>
    <w:rsid w:val="5B8C9F66"/>
    <w:rsid w:val="5CA29DA8"/>
    <w:rsid w:val="5EA1EF98"/>
    <w:rsid w:val="5ED0C2C8"/>
    <w:rsid w:val="61610ACB"/>
    <w:rsid w:val="62BB7E62"/>
    <w:rsid w:val="6406C939"/>
    <w:rsid w:val="65383D22"/>
    <w:rsid w:val="65EDF43B"/>
    <w:rsid w:val="676D0AA9"/>
    <w:rsid w:val="69849693"/>
    <w:rsid w:val="6A399DD8"/>
    <w:rsid w:val="6E0C51D7"/>
    <w:rsid w:val="6E444583"/>
    <w:rsid w:val="6E7D5E5A"/>
    <w:rsid w:val="6EC85680"/>
    <w:rsid w:val="6ECC12E9"/>
    <w:rsid w:val="71DA9C90"/>
    <w:rsid w:val="740FD902"/>
    <w:rsid w:val="76C5B6DF"/>
    <w:rsid w:val="791B109F"/>
    <w:rsid w:val="795FB5A5"/>
    <w:rsid w:val="7D914A63"/>
    <w:rsid w:val="7E81093D"/>
    <w:rsid w:val="7F4F9DD8"/>
    <w:rsid w:val="7FB2E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8CFE"/>
  <w15:chartTrackingRefBased/>
  <w15:docId w15:val="{4077B13E-8048-40C5-9FFC-ACBA62FE5855}"/>
  <w:footnotePr>
    <w:footnote w:id="-1"/>
    <w:footnote w:id="0"/>
  </w:footnotePr>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52a56df29f64d8f" /><Relationship Type="http://schemas.openxmlformats.org/officeDocument/2006/relationships/hyperlink" Target="mailto:pathanshabnam80@gmail.com" TargetMode="External" Id="R7fe2be21ed884d5b" /><Relationship Type="http://schemas.openxmlformats.org/officeDocument/2006/relationships/footnotes" Target="footnotes.xml" Id="R7b3f38395c4e401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2024-12-05T16:13:01.8106399Z</dcterms:created>
  <dcterms:modified xsi:type="dcterms:W3CDTF">2024-12-24T05:25:59.7637464Z</dcterms:modified>
  <dc:creator>Guest User</dc:creator>
  <lastModifiedBy>pathanshabnam80@gmail.com</lastModifiedBy>
</coreProperties>
</file>